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bookmarkStart w:id="0" w:name="_GoBack"/>
      <w:bookmarkEnd w:id="0"/>
      <w:r w:rsidRPr="00252769">
        <w:rPr>
          <w:rFonts w:eastAsia="MS Mincho"/>
          <w:b/>
          <w:bCs/>
          <w:noProof/>
          <w:sz w:val="28"/>
          <w:szCs w:val="28"/>
        </w:rPr>
        <w:t>3GPP TSG RAN WG1 Meeting</w:t>
      </w:r>
      <w:r w:rsidR="00B21EEB">
        <w:rPr>
          <w:rFonts w:eastAsia="MS Mincho"/>
          <w:b/>
          <w:bCs/>
          <w:noProof/>
          <w:sz w:val="28"/>
          <w:szCs w:val="28"/>
        </w:rPr>
        <w:t xml:space="preserve"> RAN1 #100</w:t>
      </w:r>
      <w:r w:rsidR="008F62F7">
        <w:rPr>
          <w:rFonts w:eastAsia="MS Mincho"/>
          <w:b/>
          <w:bCs/>
          <w:noProof/>
          <w:sz w:val="28"/>
          <w:szCs w:val="28"/>
        </w:rPr>
        <w:t xml:space="preserve">      </w:t>
      </w:r>
      <w:r w:rsidR="00B21EEB">
        <w:rPr>
          <w:rFonts w:eastAsia="MS Mincho"/>
          <w:b/>
          <w:bCs/>
          <w:noProof/>
          <w:sz w:val="28"/>
          <w:szCs w:val="28"/>
        </w:rPr>
        <w:t xml:space="preserve">  </w:t>
      </w:r>
      <w:r w:rsidR="00A4575C" w:rsidRPr="00252769">
        <w:rPr>
          <w:rFonts w:eastAsia="MS Mincho"/>
          <w:b/>
          <w:bCs/>
          <w:noProof/>
          <w:sz w:val="28"/>
          <w:szCs w:val="28"/>
        </w:rPr>
        <w:t xml:space="preserve">    </w:t>
      </w:r>
      <w:r w:rsidR="00300D87">
        <w:rPr>
          <w:rFonts w:eastAsia="MS Mincho"/>
          <w:b/>
          <w:bCs/>
          <w:noProof/>
          <w:sz w:val="28"/>
          <w:szCs w:val="28"/>
        </w:rPr>
        <w:t xml:space="preserve">     </w:t>
      </w:r>
      <w:r w:rsidRPr="00252769">
        <w:rPr>
          <w:rFonts w:eastAsia="MS Mincho"/>
          <w:b/>
          <w:bCs/>
          <w:noProof/>
          <w:sz w:val="28"/>
          <w:szCs w:val="28"/>
        </w:rPr>
        <w:t xml:space="preserve">                                           R1-</w:t>
      </w:r>
      <w:r w:rsidR="004F5326">
        <w:rPr>
          <w:rFonts w:eastAsia="MS Mincho"/>
          <w:b/>
          <w:bCs/>
          <w:noProof/>
          <w:sz w:val="28"/>
          <w:szCs w:val="28"/>
        </w:rPr>
        <w:t>2000442</w:t>
      </w:r>
    </w:p>
    <w:p w:rsidR="00005C7D" w:rsidRPr="00252769" w:rsidRDefault="000610AA"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Athens</w:t>
      </w:r>
      <w:r w:rsidR="00005C7D" w:rsidRPr="00252769">
        <w:rPr>
          <w:rFonts w:eastAsia="MS Mincho"/>
          <w:b/>
          <w:bCs/>
          <w:noProof/>
          <w:sz w:val="28"/>
          <w:szCs w:val="28"/>
          <w:lang w:eastAsia="en-US"/>
        </w:rPr>
        <w:t xml:space="preserve">, </w:t>
      </w:r>
      <w:r>
        <w:rPr>
          <w:rFonts w:eastAsia="MS Mincho"/>
          <w:b/>
          <w:bCs/>
          <w:noProof/>
          <w:sz w:val="28"/>
          <w:szCs w:val="28"/>
          <w:lang w:eastAsia="en-US"/>
        </w:rPr>
        <w:t>Greece, February 24</w:t>
      </w:r>
      <w:r w:rsidR="00341D25">
        <w:rPr>
          <w:rFonts w:eastAsia="MS Mincho"/>
          <w:b/>
          <w:bCs/>
          <w:noProof/>
          <w:sz w:val="28"/>
          <w:szCs w:val="28"/>
          <w:vertAlign w:val="superscript"/>
          <w:lang w:eastAsia="en-US"/>
        </w:rPr>
        <w:t>th</w:t>
      </w:r>
      <w:r>
        <w:rPr>
          <w:rFonts w:eastAsia="MS Mincho"/>
          <w:b/>
          <w:bCs/>
          <w:noProof/>
          <w:sz w:val="28"/>
          <w:szCs w:val="28"/>
          <w:lang w:eastAsia="en-US"/>
        </w:rPr>
        <w:t xml:space="preserve"> – 28</w:t>
      </w:r>
      <w:r w:rsidR="00005C7D" w:rsidRPr="00252769">
        <w:rPr>
          <w:rFonts w:eastAsia="MS Mincho"/>
          <w:b/>
          <w:bCs/>
          <w:noProof/>
          <w:sz w:val="28"/>
          <w:szCs w:val="28"/>
          <w:vertAlign w:val="superscript"/>
          <w:lang w:eastAsia="en-US"/>
        </w:rPr>
        <w:t>th</w:t>
      </w:r>
      <w:r w:rsidR="00305B1A">
        <w:rPr>
          <w:rFonts w:eastAsia="MS Mincho"/>
          <w:b/>
          <w:bCs/>
          <w:noProof/>
          <w:sz w:val="28"/>
          <w:szCs w:val="28"/>
          <w:lang w:eastAsia="en-US"/>
        </w:rPr>
        <w:t>, 2020</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0A2897">
        <w:rPr>
          <w:rFonts w:eastAsia="MS Mincho"/>
          <w:b/>
          <w:bCs/>
          <w:noProof/>
          <w:sz w:val="28"/>
          <w:szCs w:val="28"/>
          <w:lang w:eastAsia="en-US"/>
        </w:rPr>
        <w:t>7.2.9</w:t>
      </w:r>
      <w:r w:rsidR="00C10953">
        <w:rPr>
          <w:rFonts w:eastAsia="MS Mincho"/>
          <w:b/>
          <w:bCs/>
          <w:noProof/>
          <w:sz w:val="28"/>
          <w:szCs w:val="28"/>
          <w:lang w:eastAsia="en-US"/>
        </w:rPr>
        <w:t>.1</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C522D8">
        <w:rPr>
          <w:rFonts w:eastAsia="MS Mincho"/>
          <w:b/>
          <w:bCs/>
          <w:noProof/>
          <w:sz w:val="28"/>
          <w:szCs w:val="28"/>
          <w:lang w:eastAsia="en-US"/>
        </w:rPr>
        <w:t xml:space="preserve">On </w:t>
      </w:r>
      <w:r w:rsidR="000A2897">
        <w:rPr>
          <w:rFonts w:eastAsia="MS Mincho"/>
          <w:b/>
          <w:bCs/>
          <w:noProof/>
          <w:sz w:val="28"/>
          <w:szCs w:val="28"/>
          <w:lang w:eastAsia="en-US"/>
        </w:rPr>
        <w:t>DAPS HO for mobility enhancement</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075F1D" w:rsidRPr="00D72603" w:rsidRDefault="006C1ACD" w:rsidP="00075F1D">
      <w:r>
        <w:t xml:space="preserve">In </w:t>
      </w:r>
      <w:r w:rsidR="00075F1D" w:rsidRPr="00075F1D">
        <w:t>RAN2 #107bis</w:t>
      </w:r>
      <w:r w:rsidR="00075F1D">
        <w:t xml:space="preserve">, </w:t>
      </w:r>
      <w:r w:rsidR="00DA5D81" w:rsidRPr="004E6314">
        <w:t>RAN2 sent an LS to RAN1 and RAN4 in [1] and</w:t>
      </w:r>
      <w:r w:rsidR="00075F1D" w:rsidRPr="004E6314">
        <w:t xml:space="preserve"> ask</w:t>
      </w:r>
      <w:r w:rsidR="004D0D1D" w:rsidRPr="004E6314">
        <w:t>ed</w:t>
      </w:r>
      <w:r w:rsidR="00075F1D" w:rsidRPr="004E6314">
        <w:t xml:space="preserve"> the following questions regarding UE capability for DAPS HO:</w:t>
      </w:r>
    </w:p>
    <w:p w:rsidR="00075F1D" w:rsidRDefault="00075F1D" w:rsidP="00075F1D">
      <w:pPr>
        <w:rPr>
          <w:sz w:val="22"/>
          <w:szCs w:val="22"/>
        </w:rPr>
      </w:pPr>
    </w:p>
    <w:tbl>
      <w:tblPr>
        <w:tblStyle w:val="a3"/>
        <w:tblW w:w="0" w:type="auto"/>
        <w:tblLook w:val="04A0" w:firstRow="1" w:lastRow="0" w:firstColumn="1" w:lastColumn="0" w:noHBand="0" w:noVBand="1"/>
      </w:tblPr>
      <w:tblGrid>
        <w:gridCol w:w="9962"/>
      </w:tblGrid>
      <w:tr w:rsidR="00075F1D" w:rsidTr="00C45B05">
        <w:tc>
          <w:tcPr>
            <w:tcW w:w="9962" w:type="dxa"/>
          </w:tcPr>
          <w:p w:rsidR="00075F1D" w:rsidRPr="00075F1D" w:rsidRDefault="00075F1D" w:rsidP="00C45B05">
            <w:pPr>
              <w:tabs>
                <w:tab w:val="center" w:pos="4153"/>
                <w:tab w:val="right" w:pos="8306"/>
              </w:tabs>
              <w:rPr>
                <w:rFonts w:ascii="Arial" w:hAnsi="Arial" w:cs="Arial"/>
                <w:sz w:val="22"/>
                <w:szCs w:val="22"/>
              </w:rPr>
            </w:pPr>
            <w:r w:rsidRPr="00075F1D">
              <w:rPr>
                <w:rFonts w:ascii="Arial" w:hAnsi="Arial" w:cs="Arial"/>
                <w:sz w:val="22"/>
                <w:szCs w:val="22"/>
              </w:rPr>
              <w:t>RAN2 is discussing how to design the UE capability and how to coordinate UE capability between source gNB/eNB and target gNB/eNB for DAPS HO. RAN2 agreed that:</w:t>
            </w:r>
          </w:p>
          <w:p w:rsidR="00075F1D" w:rsidRPr="00075F1D" w:rsidRDefault="00075F1D" w:rsidP="00C45B05">
            <w:pPr>
              <w:tabs>
                <w:tab w:val="center" w:pos="4153"/>
                <w:tab w:val="right" w:pos="8306"/>
              </w:tabs>
              <w:ind w:left="284"/>
              <w:rPr>
                <w:rFonts w:ascii="Arial" w:hAnsi="Arial" w:cs="Arial"/>
                <w:sz w:val="22"/>
                <w:szCs w:val="22"/>
              </w:rPr>
            </w:pPr>
            <w:r w:rsidRPr="00075F1D">
              <w:rPr>
                <w:rFonts w:ascii="Arial" w:hAnsi="Arial" w:cs="Arial"/>
                <w:sz w:val="22"/>
                <w:szCs w:val="22"/>
              </w:rPr>
              <w:t xml:space="preserve">1 </w:t>
            </w:r>
            <w:r w:rsidRPr="00075F1D">
              <w:rPr>
                <w:rFonts w:ascii="Arial" w:hAnsi="Arial" w:cs="Arial"/>
                <w:sz w:val="22"/>
                <w:szCs w:val="22"/>
              </w:rPr>
              <w:tab/>
              <w:t xml:space="preserve">If capability coordination is used, </w:t>
            </w:r>
            <w:r w:rsidRPr="00075F1D">
              <w:rPr>
                <w:rFonts w:ascii="Arial" w:hAnsi="Arial" w:cs="Arial"/>
                <w:b/>
                <w:sz w:val="22"/>
                <w:szCs w:val="22"/>
                <w:highlight w:val="yellow"/>
              </w:rPr>
              <w:t>source and target cell configurations ensure UE capabilities are not exceeded</w:t>
            </w:r>
            <w:r w:rsidRPr="00075F1D">
              <w:rPr>
                <w:rFonts w:ascii="Arial" w:hAnsi="Arial" w:cs="Arial"/>
                <w:sz w:val="22"/>
                <w:szCs w:val="22"/>
              </w:rPr>
              <w:t xml:space="preserve"> (like now).</w:t>
            </w:r>
          </w:p>
          <w:p w:rsidR="00075F1D" w:rsidRPr="00075F1D" w:rsidRDefault="00075F1D" w:rsidP="00C45B05">
            <w:pPr>
              <w:tabs>
                <w:tab w:val="center" w:pos="4153"/>
                <w:tab w:val="right" w:pos="8306"/>
              </w:tabs>
              <w:ind w:left="284"/>
              <w:rPr>
                <w:rFonts w:ascii="Arial" w:hAnsi="Arial" w:cs="Arial"/>
                <w:sz w:val="22"/>
                <w:szCs w:val="22"/>
              </w:rPr>
            </w:pPr>
            <w:r w:rsidRPr="00075F1D">
              <w:rPr>
                <w:rFonts w:ascii="Arial" w:hAnsi="Arial" w:cs="Arial"/>
                <w:sz w:val="22"/>
                <w:szCs w:val="22"/>
              </w:rPr>
              <w:t>2 If UE capabilities are exceeded, UE behaviour is unspecified.</w:t>
            </w:r>
          </w:p>
          <w:p w:rsidR="00075F1D" w:rsidRPr="00075F1D" w:rsidRDefault="00075F1D" w:rsidP="00C45B05">
            <w:pPr>
              <w:tabs>
                <w:tab w:val="center" w:pos="4153"/>
                <w:tab w:val="right" w:pos="8306"/>
              </w:tabs>
              <w:rPr>
                <w:rFonts w:ascii="Arial" w:hAnsi="Arial" w:cs="Arial"/>
                <w:sz w:val="22"/>
                <w:szCs w:val="22"/>
              </w:rPr>
            </w:pPr>
            <w:r w:rsidRPr="00075F1D">
              <w:rPr>
                <w:rFonts w:ascii="Arial" w:hAnsi="Arial" w:cs="Arial"/>
                <w:sz w:val="22"/>
                <w:szCs w:val="22"/>
              </w:rPr>
              <w:t>To complete the work, RAN2 need to identify which UE capabilities need to be shared between source gNB/eNB and target gNB/eNB and which UE capabilities are needed for DAPS HO.</w:t>
            </w:r>
          </w:p>
          <w:p w:rsidR="00075F1D" w:rsidRPr="00075F1D" w:rsidRDefault="00075F1D" w:rsidP="00C45B05">
            <w:pPr>
              <w:tabs>
                <w:tab w:val="center" w:pos="4153"/>
                <w:tab w:val="right" w:pos="8306"/>
              </w:tabs>
              <w:rPr>
                <w:rFonts w:ascii="Arial" w:hAnsi="Arial" w:cs="Arial"/>
                <w:sz w:val="22"/>
                <w:szCs w:val="22"/>
              </w:rPr>
            </w:pPr>
          </w:p>
          <w:p w:rsidR="00075F1D" w:rsidRPr="00075F1D" w:rsidRDefault="00075F1D" w:rsidP="00C45B05">
            <w:pPr>
              <w:tabs>
                <w:tab w:val="center" w:pos="4153"/>
                <w:tab w:val="right" w:pos="8306"/>
              </w:tabs>
              <w:rPr>
                <w:rFonts w:ascii="Arial" w:hAnsi="Arial" w:cs="Arial"/>
                <w:sz w:val="22"/>
                <w:szCs w:val="22"/>
              </w:rPr>
            </w:pPr>
            <w:r w:rsidRPr="00075F1D">
              <w:rPr>
                <w:rFonts w:ascii="Arial" w:hAnsi="Arial" w:cs="Arial"/>
                <w:b/>
                <w:sz w:val="22"/>
                <w:szCs w:val="22"/>
              </w:rPr>
              <w:t>Assumption 1</w:t>
            </w:r>
            <w:r w:rsidRPr="00075F1D">
              <w:rPr>
                <w:rFonts w:ascii="Arial" w:hAnsi="Arial" w:cs="Arial"/>
                <w:sz w:val="22"/>
                <w:szCs w:val="22"/>
              </w:rPr>
              <w:t xml:space="preserve">: RAN2 has not yet made agreements on the signalling structure but assumes that the </w:t>
            </w:r>
            <w:r w:rsidRPr="00075F1D">
              <w:rPr>
                <w:rFonts w:ascii="Arial" w:hAnsi="Arial" w:cs="Arial"/>
                <w:b/>
                <w:sz w:val="22"/>
                <w:szCs w:val="22"/>
                <w:highlight w:val="yellow"/>
              </w:rPr>
              <w:t>UE capabilities for DAPS can be indicated e.g. similar as the band combination for CA/DC</w:t>
            </w:r>
            <w:r w:rsidRPr="00075F1D">
              <w:rPr>
                <w:rFonts w:ascii="Arial" w:hAnsi="Arial" w:cs="Arial"/>
                <w:sz w:val="22"/>
                <w:szCs w:val="22"/>
              </w:rPr>
              <w:t xml:space="preserve">. In addition to supporting DAPS HO for a particular serving cell configuration, the UE also needs to </w:t>
            </w:r>
            <w:r w:rsidRPr="00075F1D">
              <w:rPr>
                <w:rFonts w:ascii="Arial" w:hAnsi="Arial" w:cs="Arial"/>
                <w:b/>
                <w:sz w:val="22"/>
                <w:szCs w:val="22"/>
              </w:rPr>
              <w:t>indicate</w:t>
            </w:r>
            <w:r w:rsidRPr="00075F1D">
              <w:rPr>
                <w:rFonts w:ascii="Arial" w:hAnsi="Arial" w:cs="Arial"/>
                <w:sz w:val="22"/>
                <w:szCs w:val="22"/>
              </w:rPr>
              <w:t xml:space="preserve"> whether it supports </w:t>
            </w:r>
            <w:r w:rsidRPr="00075F1D">
              <w:rPr>
                <w:rFonts w:ascii="Arial" w:hAnsi="Arial" w:cs="Arial"/>
                <w:b/>
                <w:sz w:val="22"/>
                <w:szCs w:val="22"/>
              </w:rPr>
              <w:t>the following for DAPS HO</w:t>
            </w:r>
            <w:r w:rsidRPr="00075F1D">
              <w:rPr>
                <w:rFonts w:ascii="Arial" w:hAnsi="Arial" w:cs="Arial"/>
                <w:sz w:val="22"/>
                <w:szCs w:val="22"/>
              </w:rPr>
              <w:t>:</w:t>
            </w:r>
          </w:p>
          <w:p w:rsidR="00075F1D" w:rsidRPr="00075F1D" w:rsidRDefault="00075F1D" w:rsidP="00C45B05">
            <w:pPr>
              <w:tabs>
                <w:tab w:val="center" w:pos="4153"/>
                <w:tab w:val="right" w:pos="8306"/>
              </w:tabs>
              <w:ind w:left="720"/>
              <w:rPr>
                <w:rFonts w:ascii="Arial" w:hAnsi="Arial" w:cs="Arial"/>
                <w:sz w:val="22"/>
                <w:szCs w:val="22"/>
              </w:rPr>
            </w:pPr>
            <w:r w:rsidRPr="00075F1D">
              <w:rPr>
                <w:rFonts w:ascii="Arial" w:hAnsi="Arial" w:cs="Arial"/>
                <w:sz w:val="22"/>
                <w:szCs w:val="22"/>
              </w:rPr>
              <w:t xml:space="preserve">- </w:t>
            </w:r>
            <w:r w:rsidRPr="00075F1D">
              <w:rPr>
                <w:rFonts w:ascii="Arial" w:hAnsi="Arial" w:cs="Arial"/>
                <w:sz w:val="22"/>
                <w:szCs w:val="22"/>
                <w:highlight w:val="yellow"/>
              </w:rPr>
              <w:t>sync/async</w:t>
            </w:r>
            <w:r w:rsidRPr="00075F1D">
              <w:rPr>
                <w:rFonts w:ascii="Arial" w:hAnsi="Arial" w:cs="Arial"/>
                <w:sz w:val="22"/>
                <w:szCs w:val="22"/>
              </w:rPr>
              <w:t xml:space="preserve"> DAPS HO ;</w:t>
            </w:r>
          </w:p>
          <w:p w:rsidR="00075F1D" w:rsidRPr="00075F1D" w:rsidRDefault="00075F1D" w:rsidP="00C45B05">
            <w:pPr>
              <w:tabs>
                <w:tab w:val="center" w:pos="4153"/>
                <w:tab w:val="right" w:pos="8306"/>
              </w:tabs>
              <w:ind w:left="720"/>
              <w:rPr>
                <w:rFonts w:ascii="Arial" w:hAnsi="Arial" w:cs="Arial"/>
                <w:sz w:val="22"/>
                <w:szCs w:val="22"/>
              </w:rPr>
            </w:pPr>
            <w:r w:rsidRPr="00075F1D">
              <w:rPr>
                <w:rFonts w:ascii="Arial" w:hAnsi="Arial" w:cs="Arial"/>
                <w:sz w:val="22"/>
                <w:szCs w:val="22"/>
              </w:rPr>
              <w:t xml:space="preserve">- support for </w:t>
            </w:r>
            <w:r w:rsidRPr="00075F1D">
              <w:rPr>
                <w:rFonts w:ascii="Arial" w:hAnsi="Arial" w:cs="Arial"/>
                <w:sz w:val="22"/>
                <w:szCs w:val="22"/>
                <w:highlight w:val="yellow"/>
              </w:rPr>
              <w:t>multiple TAG</w:t>
            </w:r>
            <w:r w:rsidRPr="00075F1D">
              <w:rPr>
                <w:rFonts w:ascii="Arial" w:hAnsi="Arial" w:cs="Arial"/>
                <w:sz w:val="22"/>
                <w:szCs w:val="22"/>
              </w:rPr>
              <w:t xml:space="preserve"> (i.e. different TAG in source and target cells)</w:t>
            </w:r>
          </w:p>
          <w:p w:rsidR="00075F1D" w:rsidRPr="00075F1D" w:rsidRDefault="00075F1D" w:rsidP="00C45B05">
            <w:pPr>
              <w:tabs>
                <w:tab w:val="center" w:pos="4153"/>
                <w:tab w:val="right" w:pos="8306"/>
              </w:tabs>
              <w:ind w:left="720"/>
              <w:rPr>
                <w:rFonts w:ascii="Arial" w:hAnsi="Arial" w:cs="Arial"/>
                <w:sz w:val="22"/>
                <w:szCs w:val="22"/>
              </w:rPr>
            </w:pPr>
            <w:r w:rsidRPr="00075F1D">
              <w:rPr>
                <w:rFonts w:ascii="Arial" w:hAnsi="Arial" w:cs="Arial"/>
                <w:sz w:val="22"/>
                <w:szCs w:val="22"/>
              </w:rPr>
              <w:t xml:space="preserve">- ability to simultaneously transmit with both source and target PCells based on RF chain capability (i.e. whether </w:t>
            </w:r>
            <w:r w:rsidRPr="00075F1D">
              <w:rPr>
                <w:rFonts w:ascii="Arial" w:hAnsi="Arial" w:cs="Arial"/>
                <w:sz w:val="22"/>
                <w:szCs w:val="22"/>
                <w:highlight w:val="yellow"/>
              </w:rPr>
              <w:t>dual UL is supported during the DAPS HO or not</w:t>
            </w:r>
            <w:r w:rsidRPr="00075F1D">
              <w:rPr>
                <w:rFonts w:ascii="Arial" w:hAnsi="Arial" w:cs="Arial"/>
                <w:sz w:val="22"/>
                <w:szCs w:val="22"/>
              </w:rPr>
              <w:t>);</w:t>
            </w:r>
          </w:p>
          <w:p w:rsidR="00075F1D" w:rsidRPr="00075F1D" w:rsidRDefault="00075F1D" w:rsidP="00C45B05">
            <w:pPr>
              <w:tabs>
                <w:tab w:val="center" w:pos="4153"/>
                <w:tab w:val="right" w:pos="8306"/>
              </w:tabs>
              <w:ind w:left="720"/>
              <w:rPr>
                <w:rFonts w:ascii="Arial" w:hAnsi="Arial" w:cs="Arial"/>
                <w:sz w:val="22"/>
                <w:szCs w:val="22"/>
              </w:rPr>
            </w:pPr>
            <w:r w:rsidRPr="00075F1D">
              <w:rPr>
                <w:rFonts w:ascii="Arial" w:hAnsi="Arial" w:cs="Arial"/>
                <w:sz w:val="22"/>
                <w:szCs w:val="22"/>
              </w:rPr>
              <w:t>-</w:t>
            </w:r>
            <w:r w:rsidRPr="00075F1D">
              <w:rPr>
                <w:sz w:val="22"/>
                <w:szCs w:val="22"/>
              </w:rPr>
              <w:t xml:space="preserve"> </w:t>
            </w:r>
            <w:r w:rsidRPr="00075F1D">
              <w:rPr>
                <w:rFonts w:ascii="Arial" w:hAnsi="Arial" w:cs="Arial"/>
                <w:sz w:val="22"/>
                <w:szCs w:val="22"/>
                <w:highlight w:val="yellow"/>
              </w:rPr>
              <w:t>Handover involving different SCS</w:t>
            </w:r>
            <w:r w:rsidRPr="00075F1D">
              <w:rPr>
                <w:rFonts w:ascii="Arial" w:hAnsi="Arial" w:cs="Arial"/>
                <w:sz w:val="22"/>
                <w:szCs w:val="22"/>
              </w:rPr>
              <w:t xml:space="preserve"> (as agreed in RAN4)</w:t>
            </w:r>
          </w:p>
          <w:p w:rsidR="00075F1D" w:rsidRPr="00075F1D" w:rsidRDefault="00075F1D" w:rsidP="00C45B05">
            <w:pPr>
              <w:tabs>
                <w:tab w:val="center" w:pos="4153"/>
                <w:tab w:val="right" w:pos="8306"/>
              </w:tabs>
              <w:rPr>
                <w:rFonts w:ascii="Arial" w:hAnsi="Arial" w:cs="Arial"/>
                <w:sz w:val="22"/>
                <w:szCs w:val="22"/>
              </w:rPr>
            </w:pPr>
            <w:r w:rsidRPr="00075F1D">
              <w:rPr>
                <w:rFonts w:ascii="Arial" w:hAnsi="Arial" w:cs="Arial"/>
                <w:sz w:val="22"/>
                <w:szCs w:val="22"/>
              </w:rPr>
              <w:t>Note: RAN2 has not concluded on whether to limit DAPS HO to PCell only or whether any configured SCells can be used during DAPS HO and whether configured SCells are in deactivated state during HO for both source and target cells.</w:t>
            </w:r>
          </w:p>
          <w:p w:rsidR="00075F1D" w:rsidRPr="00075F1D" w:rsidRDefault="00075F1D" w:rsidP="00C45B05">
            <w:pPr>
              <w:tabs>
                <w:tab w:val="center" w:pos="4153"/>
                <w:tab w:val="right" w:pos="8306"/>
              </w:tabs>
              <w:rPr>
                <w:rFonts w:ascii="Arial" w:hAnsi="Arial" w:cs="Arial"/>
                <w:b/>
                <w:sz w:val="22"/>
                <w:szCs w:val="22"/>
              </w:rPr>
            </w:pPr>
            <w:bookmarkStart w:id="1" w:name="_Hlk22834419"/>
            <w:r w:rsidRPr="00075F1D">
              <w:rPr>
                <w:rFonts w:ascii="Arial" w:hAnsi="Arial" w:cs="Arial"/>
                <w:b/>
                <w:sz w:val="22"/>
                <w:szCs w:val="22"/>
              </w:rPr>
              <w:t xml:space="preserve">Q1: Are the above DAPS capabilities sufficient from RAN1, and RAN4 perspective? If not, which other capabilities would be needed in addition, e.g. any baseband/RF restriction for intra-freq case? </w:t>
            </w:r>
          </w:p>
          <w:bookmarkEnd w:id="1"/>
          <w:p w:rsidR="00075F1D" w:rsidRPr="00075F1D" w:rsidRDefault="00075F1D" w:rsidP="00C45B05">
            <w:pPr>
              <w:tabs>
                <w:tab w:val="center" w:pos="4153"/>
                <w:tab w:val="right" w:pos="8306"/>
              </w:tabs>
              <w:rPr>
                <w:rFonts w:ascii="Arial" w:hAnsi="Arial" w:cs="Arial"/>
                <w:sz w:val="22"/>
                <w:szCs w:val="22"/>
              </w:rPr>
            </w:pPr>
          </w:p>
          <w:p w:rsidR="00075F1D" w:rsidRPr="00075F1D" w:rsidRDefault="00075F1D" w:rsidP="00C45B05">
            <w:pPr>
              <w:tabs>
                <w:tab w:val="center" w:pos="4153"/>
                <w:tab w:val="right" w:pos="8306"/>
              </w:tabs>
              <w:rPr>
                <w:rFonts w:ascii="Arial" w:hAnsi="Arial" w:cs="Arial"/>
                <w:sz w:val="22"/>
                <w:szCs w:val="22"/>
                <w:lang w:val="en-GB"/>
              </w:rPr>
            </w:pPr>
            <w:r w:rsidRPr="00075F1D">
              <w:rPr>
                <w:rFonts w:ascii="Arial" w:hAnsi="Arial" w:cs="Arial"/>
                <w:sz w:val="22"/>
                <w:szCs w:val="22"/>
              </w:rPr>
              <w:t xml:space="preserve">For NR, subset of features listed in 4.2.7.6 and 4.2.7.8 in TS38.306 may be shared between source and target node, e.g. MIMO layer, bandwidth class, modulation, SRS resources set, SCS. </w:t>
            </w:r>
          </w:p>
          <w:p w:rsidR="00075F1D" w:rsidRPr="00075F1D" w:rsidRDefault="00075F1D" w:rsidP="00C45B05">
            <w:pPr>
              <w:tabs>
                <w:tab w:val="center" w:pos="4153"/>
                <w:tab w:val="right" w:pos="8306"/>
              </w:tabs>
              <w:rPr>
                <w:rFonts w:ascii="Arial" w:hAnsi="Arial" w:cs="Arial"/>
                <w:sz w:val="22"/>
                <w:szCs w:val="22"/>
              </w:rPr>
            </w:pPr>
            <w:r w:rsidRPr="00075F1D">
              <w:rPr>
                <w:rFonts w:ascii="Arial" w:hAnsi="Arial" w:cs="Arial"/>
                <w:sz w:val="22"/>
                <w:szCs w:val="22"/>
              </w:rPr>
              <w:t xml:space="preserve">For LTE, refer to 4.3.5 in TS36.306, e.g. MIMO layer, bandwidth class, modulation may be shared. </w:t>
            </w:r>
          </w:p>
          <w:p w:rsidR="00075F1D" w:rsidRPr="00075F1D" w:rsidRDefault="00075F1D" w:rsidP="00C45B05">
            <w:pPr>
              <w:tabs>
                <w:tab w:val="center" w:pos="4153"/>
                <w:tab w:val="right" w:pos="8306"/>
              </w:tabs>
              <w:rPr>
                <w:rFonts w:ascii="Arial" w:hAnsi="Arial" w:cs="Arial"/>
                <w:sz w:val="22"/>
                <w:szCs w:val="22"/>
              </w:rPr>
            </w:pPr>
            <w:r w:rsidRPr="00075F1D">
              <w:rPr>
                <w:rFonts w:ascii="Arial" w:hAnsi="Arial" w:cs="Arial"/>
                <w:sz w:val="22"/>
                <w:szCs w:val="22"/>
              </w:rPr>
              <w:t xml:space="preserve">In addition, for both NR and LTE, the UL power, CSI processes, number of CCs may also be shared. </w:t>
            </w:r>
          </w:p>
          <w:p w:rsidR="00075F1D" w:rsidRPr="00CF1F6C" w:rsidRDefault="00075F1D" w:rsidP="00C45B05">
            <w:pPr>
              <w:tabs>
                <w:tab w:val="center" w:pos="4153"/>
                <w:tab w:val="right" w:pos="8306"/>
              </w:tabs>
              <w:rPr>
                <w:rFonts w:ascii="Arial" w:hAnsi="Arial" w:cs="Arial"/>
                <w:b/>
              </w:rPr>
            </w:pPr>
            <w:r w:rsidRPr="00075F1D">
              <w:rPr>
                <w:rFonts w:ascii="Arial" w:hAnsi="Arial" w:cs="Arial"/>
                <w:b/>
                <w:sz w:val="22"/>
                <w:szCs w:val="22"/>
              </w:rPr>
              <w:t>Q2: What are the physical layer capabilities and RF capabilities relevant to DAPS HO that need to be shared between source gNB/eNB part and target gNB/eNB part of the UE?</w:t>
            </w:r>
          </w:p>
        </w:tc>
      </w:tr>
    </w:tbl>
    <w:p w:rsidR="006C1ACD" w:rsidRDefault="006C1ACD" w:rsidP="00856AA4"/>
    <w:p w:rsidR="00DA4FB3" w:rsidRDefault="006A5D02" w:rsidP="00BE7765">
      <w:r>
        <w:t xml:space="preserve">Since RAN1 did not </w:t>
      </w:r>
      <w:r w:rsidR="00E2303A">
        <w:t xml:space="preserve">have enough time to </w:t>
      </w:r>
      <w:r>
        <w:t>reply this LS during RAN1 #99, t</w:t>
      </w:r>
      <w:r w:rsidR="00DA4FB3">
        <w:t>his tdoc focus</w:t>
      </w:r>
      <w:r w:rsidR="007E683D">
        <w:t>es</w:t>
      </w:r>
      <w:r w:rsidR="00DA4FB3">
        <w:t xml:space="preserve"> on the </w:t>
      </w:r>
      <w:r>
        <w:t xml:space="preserve">reply to this LS and </w:t>
      </w:r>
      <w:r w:rsidR="00460C54">
        <w:t>remaining details</w:t>
      </w:r>
      <w:r>
        <w:t xml:space="preserve"> </w:t>
      </w:r>
      <w:r w:rsidR="00886B5B">
        <w:t xml:space="preserve">for </w:t>
      </w:r>
      <w:r>
        <w:t>DAPS HO</w:t>
      </w:r>
      <w:r w:rsidR="007E683D">
        <w:t xml:space="preserve"> </w:t>
      </w:r>
      <w:r>
        <w:t>for Rel-16 mobility enhancement</w:t>
      </w:r>
      <w:r w:rsidR="00DA4FB3">
        <w:t>.</w:t>
      </w:r>
    </w:p>
    <w:p w:rsidR="003F712E" w:rsidRDefault="003A1B1A" w:rsidP="000F1654">
      <w:pPr>
        <w:pStyle w:val="1"/>
        <w:rPr>
          <w:rFonts w:cs="Arial"/>
          <w:color w:val="000000" w:themeColor="text1"/>
        </w:rPr>
      </w:pPr>
      <w:r>
        <w:rPr>
          <w:rFonts w:cs="Arial"/>
          <w:color w:val="000000" w:themeColor="text1"/>
        </w:rPr>
        <w:lastRenderedPageBreak/>
        <w:t>2</w:t>
      </w:r>
      <w:r w:rsidRPr="001F61A8">
        <w:rPr>
          <w:rFonts w:cs="Arial"/>
          <w:color w:val="000000" w:themeColor="text1"/>
        </w:rPr>
        <w:tab/>
      </w:r>
      <w:r w:rsidR="00A01909" w:rsidRPr="00A01909">
        <w:rPr>
          <w:rFonts w:cs="Arial" w:hint="eastAsia"/>
          <w:color w:val="000000" w:themeColor="text1"/>
        </w:rPr>
        <w:t>UE Fe</w:t>
      </w:r>
      <w:r w:rsidR="00A01909" w:rsidRPr="00A01909">
        <w:rPr>
          <w:rFonts w:cs="Arial"/>
          <w:color w:val="000000" w:themeColor="text1"/>
        </w:rPr>
        <w:t>atures</w:t>
      </w:r>
    </w:p>
    <w:p w:rsidR="00B37FD0" w:rsidRPr="00BF3402" w:rsidRDefault="00B37FD0" w:rsidP="00BF3402">
      <w:pPr>
        <w:spacing w:before="120"/>
        <w:rPr>
          <w:lang w:val="en-GB"/>
        </w:rPr>
      </w:pPr>
      <w:r>
        <w:rPr>
          <w:rFonts w:ascii="Arial" w:eastAsia="MS Mincho" w:hAnsi="Arial" w:cs="Arial"/>
          <w:b/>
          <w:sz w:val="28"/>
          <w:szCs w:val="28"/>
          <w:u w:val="single"/>
          <w:lang w:val="en-GB"/>
        </w:rPr>
        <w:t>2.1</w:t>
      </w:r>
      <w:r w:rsidRPr="00F116B8">
        <w:rPr>
          <w:rFonts w:ascii="Arial" w:eastAsia="MS Mincho" w:hAnsi="Arial" w:cs="Arial"/>
          <w:b/>
          <w:sz w:val="28"/>
          <w:szCs w:val="28"/>
          <w:u w:val="single"/>
          <w:lang w:val="en-GB"/>
        </w:rPr>
        <w:t xml:space="preserve"> </w:t>
      </w:r>
      <w:r>
        <w:rPr>
          <w:rFonts w:ascii="Arial" w:eastAsia="MS Mincho" w:hAnsi="Arial" w:cs="Arial"/>
          <w:b/>
          <w:sz w:val="28"/>
          <w:szCs w:val="28"/>
          <w:u w:val="single"/>
          <w:lang w:val="en-GB"/>
        </w:rPr>
        <w:t>Additional physical layer DAPS related capabilities or constraints required on top of RAN2 LS</w:t>
      </w:r>
    </w:p>
    <w:p w:rsidR="00B37FD0" w:rsidRDefault="00B37FD0" w:rsidP="00B37FD0">
      <w:pPr>
        <w:rPr>
          <w:b/>
          <w:u w:val="single"/>
        </w:rPr>
      </w:pPr>
    </w:p>
    <w:p w:rsidR="00B37FD0" w:rsidRPr="00E543C7" w:rsidRDefault="00BF3402" w:rsidP="00B37FD0">
      <w:pPr>
        <w:jc w:val="both"/>
      </w:pPr>
      <w:r>
        <w:t>For UL transmission during DAPS HO</w:t>
      </w:r>
      <w:r w:rsidR="00B37FD0" w:rsidRPr="00E543C7">
        <w:t xml:space="preserve">, </w:t>
      </w:r>
      <w:r w:rsidR="00B37FD0">
        <w:t xml:space="preserve">UE has only limited </w:t>
      </w:r>
      <w:r w:rsidR="00B37FD0">
        <w:rPr>
          <w:color w:val="000000"/>
        </w:rPr>
        <w:t xml:space="preserve">UL TX path, and NW configuration for </w:t>
      </w:r>
      <w:r w:rsidR="00B37FD0" w:rsidRPr="00E543C7">
        <w:rPr>
          <w:color w:val="000000"/>
        </w:rPr>
        <w:t>source and target cell should not exceed UE capability for supported UL TX path.</w:t>
      </w:r>
      <w:r w:rsidR="00B37FD0">
        <w:rPr>
          <w:color w:val="000000"/>
        </w:rPr>
        <w:t xml:space="preserve"> For example, if</w:t>
      </w:r>
      <w:r w:rsidR="00B37FD0" w:rsidRPr="00E543C7">
        <w:rPr>
          <w:color w:val="000000"/>
        </w:rPr>
        <w:t xml:space="preserve"> </w:t>
      </w:r>
      <w:r w:rsidR="00B37FD0">
        <w:rPr>
          <w:color w:val="000000"/>
        </w:rPr>
        <w:t>UE only supports 3 UL TX path (or say 3 layers across different CC), th</w:t>
      </w:r>
      <w:r w:rsidR="00886B5B">
        <w:rPr>
          <w:color w:val="000000"/>
        </w:rPr>
        <w:t xml:space="preserve">en NW should not configure </w:t>
      </w:r>
      <w:r w:rsidR="00B37FD0">
        <w:rPr>
          <w:color w:val="000000"/>
        </w:rPr>
        <w:t xml:space="preserve">2 layers for </w:t>
      </w:r>
      <w:r w:rsidR="00886B5B">
        <w:rPr>
          <w:color w:val="000000"/>
        </w:rPr>
        <w:t xml:space="preserve">both </w:t>
      </w:r>
      <w:r w:rsidR="00B37FD0">
        <w:rPr>
          <w:color w:val="000000"/>
        </w:rPr>
        <w:t>source and target cells.</w:t>
      </w:r>
    </w:p>
    <w:p w:rsidR="00B37FD0" w:rsidRPr="006943F4" w:rsidRDefault="00B37FD0" w:rsidP="00B37FD0">
      <w:pPr>
        <w:rPr>
          <w:b/>
          <w:u w:val="single"/>
        </w:rPr>
      </w:pPr>
    </w:p>
    <w:p w:rsidR="00B37FD0" w:rsidRPr="00E543C7" w:rsidRDefault="00BF3402" w:rsidP="00B37FD0">
      <w:pPr>
        <w:rPr>
          <w:b/>
          <w:u w:val="single"/>
        </w:rPr>
      </w:pPr>
      <w:r>
        <w:rPr>
          <w:b/>
          <w:u w:val="single"/>
        </w:rPr>
        <w:t>Proposal 1</w:t>
      </w:r>
      <w:r w:rsidR="00B37FD0" w:rsidRPr="006943F4">
        <w:rPr>
          <w:b/>
          <w:u w:val="single"/>
        </w:rPr>
        <w:t xml:space="preserve">: </w:t>
      </w:r>
      <w:r w:rsidR="00B37FD0">
        <w:rPr>
          <w:b/>
          <w:u w:val="single"/>
        </w:rPr>
        <w:t>UE to report supported number of UL TX path (</w:t>
      </w:r>
      <w:r w:rsidR="00B37FD0" w:rsidRPr="00E543C7">
        <w:rPr>
          <w:b/>
          <w:u w:val="single"/>
        </w:rPr>
        <w:t>layers across different CC</w:t>
      </w:r>
      <w:r w:rsidR="00B37FD0">
        <w:rPr>
          <w:b/>
          <w:u w:val="single"/>
        </w:rPr>
        <w:t xml:space="preserve">). </w:t>
      </w:r>
      <w:r w:rsidR="00B37FD0" w:rsidRPr="00E543C7">
        <w:rPr>
          <w:b/>
          <w:u w:val="single"/>
        </w:rPr>
        <w:t>NW configuration</w:t>
      </w:r>
      <w:r w:rsidR="00B37FD0">
        <w:rPr>
          <w:b/>
          <w:u w:val="single"/>
        </w:rPr>
        <w:t xml:space="preserve"> of TX layers</w:t>
      </w:r>
      <w:r w:rsidR="00B37FD0" w:rsidRPr="00E543C7">
        <w:rPr>
          <w:b/>
          <w:u w:val="single"/>
        </w:rPr>
        <w:t xml:space="preserve"> for source and target cell should not exceed </w:t>
      </w:r>
      <w:r w:rsidR="00B37FD0">
        <w:rPr>
          <w:b/>
          <w:u w:val="single"/>
        </w:rPr>
        <w:t xml:space="preserve">the reported </w:t>
      </w:r>
      <w:r w:rsidR="00B37FD0" w:rsidRPr="00E543C7">
        <w:rPr>
          <w:b/>
          <w:u w:val="single"/>
        </w:rPr>
        <w:t>UE capability.</w:t>
      </w:r>
    </w:p>
    <w:p w:rsidR="00B37FD0" w:rsidRDefault="00B37FD0" w:rsidP="00B37FD0"/>
    <w:p w:rsidR="00B37FD0" w:rsidRDefault="00B37FD0" w:rsidP="00B37FD0">
      <w:r>
        <w:t>Also, it is agreed in RAN1 #99</w:t>
      </w:r>
      <w:r w:rsidR="00DD2BE4">
        <w:t xml:space="preserve"> [2]</w:t>
      </w:r>
      <w:r>
        <w:t xml:space="preserve"> that </w:t>
      </w:r>
    </w:p>
    <w:p w:rsidR="00B37FD0" w:rsidRDefault="00B37FD0" w:rsidP="00B37FD0">
      <w:r>
        <w:rPr>
          <w:noProof/>
        </w:rPr>
        <mc:AlternateContent>
          <mc:Choice Requires="wps">
            <w:drawing>
              <wp:anchor distT="45720" distB="45720" distL="114300" distR="114300" simplePos="0" relativeHeight="251675648" behindDoc="0" locked="0" layoutInCell="1" allowOverlap="1" wp14:anchorId="6D85CE03" wp14:editId="413D4C97">
                <wp:simplePos x="0" y="0"/>
                <wp:positionH relativeFrom="column">
                  <wp:posOffset>19685</wp:posOffset>
                </wp:positionH>
                <wp:positionV relativeFrom="paragraph">
                  <wp:posOffset>111125</wp:posOffset>
                </wp:positionV>
                <wp:extent cx="6380480" cy="1404620"/>
                <wp:effectExtent l="0" t="0" r="20320" b="1016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1404620"/>
                        </a:xfrm>
                        <a:prstGeom prst="rect">
                          <a:avLst/>
                        </a:prstGeom>
                        <a:solidFill>
                          <a:srgbClr val="FFFFFF"/>
                        </a:solidFill>
                        <a:ln w="9525">
                          <a:solidFill>
                            <a:srgbClr val="000000"/>
                          </a:solidFill>
                          <a:miter lim="800000"/>
                          <a:headEnd/>
                          <a:tailEnd/>
                        </a:ln>
                      </wps:spPr>
                      <wps:txbx>
                        <w:txbxContent>
                          <w:p w:rsidR="00B37FD0" w:rsidRPr="00A22312" w:rsidRDefault="00B37FD0" w:rsidP="00B37FD0">
                            <w:pPr>
                              <w:rPr>
                                <w:b/>
                                <w:u w:val="single"/>
                                <w:lang w:eastAsia="x-none"/>
                              </w:rPr>
                            </w:pPr>
                            <w:r w:rsidRPr="00F97E78">
                              <w:rPr>
                                <w:b/>
                                <w:highlight w:val="green"/>
                                <w:u w:val="single"/>
                                <w:lang w:eastAsia="x-none"/>
                              </w:rPr>
                              <w:t>Agreement:</w:t>
                            </w:r>
                          </w:p>
                          <w:p w:rsidR="00B37FD0" w:rsidRPr="00F97E78" w:rsidRDefault="00B37FD0" w:rsidP="00B37FD0">
                            <w:pPr>
                              <w:pStyle w:val="a4"/>
                              <w:numPr>
                                <w:ilvl w:val="0"/>
                                <w:numId w:val="30"/>
                              </w:numPr>
                              <w:ind w:left="360"/>
                              <w:contextualSpacing w:val="0"/>
                              <w:rPr>
                                <w:bCs/>
                                <w:iCs/>
                                <w:lang w:eastAsia="x-none"/>
                              </w:rPr>
                            </w:pPr>
                            <w:r w:rsidRPr="00A22312">
                              <w:rPr>
                                <w:bCs/>
                                <w:iCs/>
                              </w:rPr>
                              <w:t xml:space="preserve">In RAN1 understanding, if UE indicates that it supports DAPS HO for a specific feature set, it implies (without additional capability signaling) that </w:t>
                            </w:r>
                            <w:r w:rsidRPr="00F97E78">
                              <w:rPr>
                                <w:b/>
                                <w:bCs/>
                                <w:iCs/>
                              </w:rPr>
                              <w:t>UE supports simultaneous reception of DL signals/channels in overlapping OFDM symbols for DAPS HO</w:t>
                            </w:r>
                            <w:r w:rsidRPr="00A22312">
                              <w:rPr>
                                <w:bCs/>
                                <w:i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85CE03" id="_x0000_s1028" type="#_x0000_t202" style="position:absolute;margin-left:1.55pt;margin-top:8.75pt;width:502.4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">
                <v:textbox style="mso-fit-shape-to-text:t">
                  <w:txbxContent>
                    <w:p w:rsidR="00B37FD0" w:rsidRPr="00A22312" w:rsidRDefault="00B37FD0" w:rsidP="00B37FD0">
                      <w:pPr>
                        <w:rPr>
                          <w:b/>
                          <w:u w:val="single"/>
                          <w:lang w:eastAsia="x-none"/>
                        </w:rPr>
                      </w:pPr>
                      <w:r w:rsidRPr="00F97E78">
                        <w:rPr>
                          <w:b/>
                          <w:highlight w:val="green"/>
                          <w:u w:val="single"/>
                          <w:lang w:eastAsia="x-none"/>
                        </w:rPr>
                        <w:t>Agreement:</w:t>
                      </w:r>
                    </w:p>
                    <w:p w:rsidR="00B37FD0" w:rsidRPr="00F97E78" w:rsidRDefault="00B37FD0" w:rsidP="00B37FD0">
                      <w:pPr>
                        <w:pStyle w:val="a4"/>
                        <w:numPr>
                          <w:ilvl w:val="0"/>
                          <w:numId w:val="30"/>
                        </w:numPr>
                        <w:ind w:left="360"/>
                        <w:contextualSpacing w:val="0"/>
                        <w:rPr>
                          <w:bCs/>
                          <w:iCs/>
                          <w:lang w:eastAsia="x-none"/>
                        </w:rPr>
                      </w:pPr>
                      <w:r w:rsidRPr="00A22312">
                        <w:rPr>
                          <w:bCs/>
                          <w:iCs/>
                        </w:rPr>
                        <w:t xml:space="preserve">In RAN1 understanding, if UE indicates that it supports DAPS HO for a specific feature set, it implies (without additional capability signaling) that </w:t>
                      </w:r>
                      <w:r w:rsidRPr="00F97E78">
                        <w:rPr>
                          <w:b/>
                          <w:bCs/>
                          <w:iCs/>
                        </w:rPr>
                        <w:t>UE supports simultaneous reception of DL signals/channels in overlapping OFDM symbols for DAPS HO</w:t>
                      </w:r>
                      <w:r w:rsidRPr="00A22312">
                        <w:rPr>
                          <w:bCs/>
                          <w:iCs/>
                        </w:rPr>
                        <w:t>.</w:t>
                      </w:r>
                    </w:p>
                  </w:txbxContent>
                </v:textbox>
                <w10:wrap type="square"/>
              </v:shape>
            </w:pict>
          </mc:Fallback>
        </mc:AlternateContent>
      </w:r>
    </w:p>
    <w:p w:rsidR="00B37FD0" w:rsidRDefault="00B37FD0" w:rsidP="00B37FD0"/>
    <w:p w:rsidR="00B37FD0" w:rsidRDefault="00B37FD0" w:rsidP="00B37FD0"/>
    <w:p w:rsidR="00B37FD0" w:rsidRDefault="00B37FD0" w:rsidP="00B37FD0">
      <w:pPr>
        <w:rPr>
          <w:b/>
          <w:u w:val="single"/>
          <w:lang w:eastAsia="x-none"/>
        </w:rPr>
      </w:pPr>
    </w:p>
    <w:p w:rsidR="00B37FD0" w:rsidRDefault="00B37FD0" w:rsidP="00B37FD0">
      <w:pPr>
        <w:rPr>
          <w:b/>
          <w:u w:val="single"/>
          <w:lang w:eastAsia="x-none"/>
        </w:rPr>
      </w:pPr>
    </w:p>
    <w:p w:rsidR="00B37FD0" w:rsidRDefault="00B37FD0" w:rsidP="00B37FD0">
      <w:pPr>
        <w:rPr>
          <w:b/>
          <w:u w:val="single"/>
          <w:lang w:eastAsia="x-none"/>
        </w:rPr>
      </w:pPr>
    </w:p>
    <w:p w:rsidR="00B37FD0" w:rsidRDefault="00B37FD0" w:rsidP="00B37FD0">
      <w:pPr>
        <w:pStyle w:val="ae"/>
        <w:tabs>
          <w:tab w:val="left" w:pos="426"/>
          <w:tab w:val="left" w:pos="4678"/>
          <w:tab w:val="left" w:pos="5954"/>
          <w:tab w:val="left" w:pos="7088"/>
        </w:tabs>
        <w:rPr>
          <w:rFonts w:ascii="Arial" w:hAnsi="Arial" w:cs="Arial"/>
          <w:lang w:eastAsia="zh-CN"/>
        </w:rPr>
      </w:pPr>
      <w:r>
        <w:rPr>
          <w:rFonts w:ascii="Arial" w:hAnsi="Arial" w:cs="Arial"/>
          <w:lang w:eastAsia="zh-CN"/>
        </w:rPr>
        <w:t>However, in 38.213 [</w:t>
      </w:r>
      <w:r w:rsidR="00BF3402">
        <w:rPr>
          <w:rFonts w:ascii="Arial" w:hAnsi="Arial" w:cs="Arial"/>
          <w:lang w:eastAsia="zh-CN"/>
        </w:rPr>
        <w:t>3</w:t>
      </w:r>
      <w:r>
        <w:rPr>
          <w:rFonts w:ascii="Arial" w:hAnsi="Arial" w:cs="Arial"/>
          <w:lang w:eastAsia="zh-CN"/>
        </w:rPr>
        <w:t>] 10.1, it is specified that UE only support</w:t>
      </w:r>
      <w:r w:rsidR="00886B5B">
        <w:rPr>
          <w:rFonts w:ascii="Arial" w:hAnsi="Arial" w:cs="Arial"/>
          <w:lang w:eastAsia="zh-CN"/>
        </w:rPr>
        <w:t>s</w:t>
      </w:r>
      <w:r>
        <w:rPr>
          <w:rFonts w:ascii="Arial" w:hAnsi="Arial" w:cs="Arial"/>
          <w:lang w:eastAsia="zh-CN"/>
        </w:rPr>
        <w:t xml:space="preserve"> to receive </w:t>
      </w:r>
      <w:r w:rsidRPr="00B37FD0">
        <w:rPr>
          <w:rFonts w:ascii="Arial" w:hAnsi="Arial" w:cs="Arial" w:hint="eastAsia"/>
          <w:lang w:eastAsia="zh-CN"/>
        </w:rPr>
        <w:t>DL signals</w:t>
      </w:r>
      <w:r w:rsidR="00886B5B">
        <w:rPr>
          <w:rFonts w:ascii="Arial" w:hAnsi="Arial" w:cs="Arial"/>
          <w:lang w:eastAsia="zh-CN"/>
        </w:rPr>
        <w:t xml:space="preserve"> </w:t>
      </w:r>
      <w:r w:rsidR="00886B5B" w:rsidRPr="00B37FD0">
        <w:rPr>
          <w:rFonts w:ascii="Arial" w:hAnsi="Arial" w:cs="Arial" w:hint="eastAsia"/>
          <w:lang w:eastAsia="zh-CN"/>
        </w:rPr>
        <w:t>simultaneously</w:t>
      </w:r>
      <w:r w:rsidRPr="00B37FD0">
        <w:rPr>
          <w:rFonts w:ascii="Arial" w:hAnsi="Arial" w:cs="Arial" w:hint="eastAsia"/>
          <w:lang w:eastAsia="zh-CN"/>
        </w:rPr>
        <w:t xml:space="preserve"> with </w:t>
      </w:r>
      <w:r w:rsidR="00886B5B">
        <w:rPr>
          <w:rFonts w:ascii="Arial" w:hAnsi="Arial" w:cs="Arial"/>
          <w:lang w:eastAsia="zh-CN"/>
        </w:rPr>
        <w:t>the same</w:t>
      </w:r>
      <w:r w:rsidRPr="00B37FD0">
        <w:rPr>
          <w:rFonts w:ascii="Arial" w:hAnsi="Arial" w:cs="Arial" w:hint="eastAsia"/>
          <w:lang w:eastAsia="zh-CN"/>
        </w:rPr>
        <w:t xml:space="preserve"> QCL-typeD properties </w:t>
      </w:r>
      <w:r w:rsidRPr="00B37FD0">
        <w:rPr>
          <w:rFonts w:ascii="Arial" w:hAnsi="Arial" w:cs="Arial"/>
          <w:lang w:eastAsia="zh-CN"/>
        </w:rPr>
        <w:t>in FR2.</w:t>
      </w:r>
      <w:r>
        <w:rPr>
          <w:rFonts w:ascii="Arial" w:hAnsi="Arial" w:cs="Arial"/>
          <w:lang w:eastAsia="zh-CN"/>
        </w:rPr>
        <w:t xml:space="preserve"> However, during DAPS HO, if the source and target cell are both in FR2, </w:t>
      </w:r>
      <w:r w:rsidRPr="00B37FD0">
        <w:rPr>
          <w:rFonts w:ascii="Arial" w:hAnsi="Arial" w:cs="Arial" w:hint="eastAsia"/>
          <w:lang w:eastAsia="zh-CN"/>
        </w:rPr>
        <w:t xml:space="preserve">it is very likely that signals from source cell and target cell </w:t>
      </w:r>
      <w:r>
        <w:rPr>
          <w:rFonts w:ascii="Arial" w:hAnsi="Arial" w:cs="Arial"/>
          <w:lang w:eastAsia="zh-CN"/>
        </w:rPr>
        <w:t xml:space="preserve">would </w:t>
      </w:r>
      <w:r w:rsidRPr="00B37FD0">
        <w:rPr>
          <w:rFonts w:ascii="Arial" w:hAnsi="Arial" w:cs="Arial" w:hint="eastAsia"/>
          <w:lang w:eastAsia="zh-CN"/>
        </w:rPr>
        <w:t>have different QCL properties</w:t>
      </w:r>
      <w:r>
        <w:rPr>
          <w:rFonts w:ascii="Arial" w:hAnsi="Arial" w:cs="Arial"/>
          <w:lang w:eastAsia="zh-CN"/>
        </w:rPr>
        <w:t>. Therefore, UE should be able to report</w:t>
      </w:r>
    </w:p>
    <w:p w:rsidR="00B37FD0" w:rsidRDefault="00B37FD0" w:rsidP="00B37FD0">
      <w:pPr>
        <w:pStyle w:val="ae"/>
        <w:numPr>
          <w:ilvl w:val="0"/>
          <w:numId w:val="36"/>
        </w:numPr>
        <w:tabs>
          <w:tab w:val="left" w:pos="426"/>
          <w:tab w:val="left" w:pos="4678"/>
          <w:tab w:val="left" w:pos="5954"/>
          <w:tab w:val="left" w:pos="7088"/>
        </w:tabs>
        <w:rPr>
          <w:rFonts w:ascii="Arial" w:hAnsi="Arial" w:cs="Arial"/>
          <w:lang w:eastAsia="zh-CN"/>
        </w:rPr>
      </w:pPr>
      <w:r>
        <w:rPr>
          <w:rFonts w:ascii="Arial" w:hAnsi="Arial" w:cs="Arial"/>
          <w:lang w:eastAsia="zh-CN"/>
        </w:rPr>
        <w:t>Whether UE can support multiple active TCI states for PDSCH and PDCCH.</w:t>
      </w:r>
    </w:p>
    <w:p w:rsidR="00B37FD0" w:rsidRDefault="00B37FD0" w:rsidP="00B37FD0">
      <w:pPr>
        <w:pStyle w:val="ae"/>
        <w:numPr>
          <w:ilvl w:val="0"/>
          <w:numId w:val="36"/>
        </w:numPr>
        <w:tabs>
          <w:tab w:val="left" w:pos="426"/>
          <w:tab w:val="left" w:pos="4678"/>
          <w:tab w:val="left" w:pos="5954"/>
          <w:tab w:val="left" w:pos="7088"/>
        </w:tabs>
        <w:rPr>
          <w:rFonts w:ascii="Arial" w:hAnsi="Arial" w:cs="Arial"/>
          <w:lang w:eastAsia="zh-CN"/>
        </w:rPr>
      </w:pPr>
      <w:r>
        <w:rPr>
          <w:rFonts w:ascii="Arial" w:hAnsi="Arial" w:cs="Arial"/>
          <w:lang w:eastAsia="zh-CN"/>
        </w:rPr>
        <w:t>Whether UE can support multiple active spatial relation info for PUSCH and PUCCH.</w:t>
      </w:r>
    </w:p>
    <w:p w:rsidR="00B37FD0" w:rsidRDefault="00B37FD0" w:rsidP="00B37FD0">
      <w:pPr>
        <w:rPr>
          <w:b/>
          <w:u w:val="single"/>
          <w:lang w:eastAsia="x-none"/>
        </w:rPr>
      </w:pPr>
    </w:p>
    <w:p w:rsidR="00B37FD0" w:rsidRDefault="00BF3402" w:rsidP="00B37FD0">
      <w:pPr>
        <w:rPr>
          <w:b/>
          <w:u w:val="single"/>
        </w:rPr>
      </w:pPr>
      <w:r>
        <w:rPr>
          <w:b/>
          <w:u w:val="single"/>
        </w:rPr>
        <w:t>Proposal 2</w:t>
      </w:r>
      <w:r w:rsidR="00B37FD0" w:rsidRPr="006943F4">
        <w:rPr>
          <w:b/>
          <w:u w:val="single"/>
        </w:rPr>
        <w:t xml:space="preserve">: </w:t>
      </w:r>
      <w:r w:rsidR="00B37FD0">
        <w:rPr>
          <w:b/>
          <w:u w:val="single"/>
        </w:rPr>
        <w:t xml:space="preserve">Considering </w:t>
      </w:r>
      <w:r w:rsidR="00B37FD0" w:rsidRPr="00B37FD0">
        <w:rPr>
          <w:rFonts w:hint="eastAsia"/>
          <w:b/>
          <w:u w:val="single"/>
        </w:rPr>
        <w:t xml:space="preserve">DAPS HO in FR2, </w:t>
      </w:r>
      <w:r w:rsidR="00B37FD0">
        <w:rPr>
          <w:b/>
          <w:u w:val="single"/>
        </w:rPr>
        <w:t xml:space="preserve">UE should report the capability of </w:t>
      </w:r>
    </w:p>
    <w:p w:rsidR="00B37FD0" w:rsidRDefault="00B37FD0" w:rsidP="00B37FD0">
      <w:pPr>
        <w:rPr>
          <w:b/>
          <w:u w:val="single"/>
          <w:lang w:eastAsia="x-none"/>
        </w:rPr>
      </w:pPr>
    </w:p>
    <w:p w:rsidR="00B37FD0" w:rsidRPr="00B37FD0" w:rsidRDefault="00B37FD0" w:rsidP="00B37FD0">
      <w:pPr>
        <w:pStyle w:val="ae"/>
        <w:numPr>
          <w:ilvl w:val="0"/>
          <w:numId w:val="36"/>
        </w:numPr>
        <w:tabs>
          <w:tab w:val="left" w:pos="426"/>
          <w:tab w:val="left" w:pos="4678"/>
          <w:tab w:val="left" w:pos="5954"/>
          <w:tab w:val="left" w:pos="7088"/>
        </w:tabs>
        <w:rPr>
          <w:rFonts w:ascii="Arial" w:hAnsi="Arial" w:cs="Arial"/>
          <w:b/>
          <w:u w:val="single"/>
          <w:lang w:eastAsia="zh-CN"/>
        </w:rPr>
      </w:pPr>
      <w:r w:rsidRPr="00B37FD0">
        <w:rPr>
          <w:rFonts w:ascii="Arial" w:hAnsi="Arial" w:cs="Arial"/>
          <w:b/>
          <w:u w:val="single"/>
          <w:lang w:eastAsia="zh-CN"/>
        </w:rPr>
        <w:t>Whether UE can support multiple active TCI states for PDSCH and PDCCH.</w:t>
      </w:r>
    </w:p>
    <w:p w:rsidR="00B37FD0" w:rsidRPr="00B37FD0" w:rsidRDefault="00B37FD0" w:rsidP="00B37FD0">
      <w:pPr>
        <w:pStyle w:val="ae"/>
        <w:numPr>
          <w:ilvl w:val="0"/>
          <w:numId w:val="36"/>
        </w:numPr>
        <w:tabs>
          <w:tab w:val="left" w:pos="426"/>
          <w:tab w:val="left" w:pos="4678"/>
          <w:tab w:val="left" w:pos="5954"/>
          <w:tab w:val="left" w:pos="7088"/>
        </w:tabs>
        <w:rPr>
          <w:rFonts w:ascii="Arial" w:hAnsi="Arial" w:cs="Arial"/>
          <w:b/>
          <w:u w:val="single"/>
          <w:lang w:eastAsia="zh-CN"/>
        </w:rPr>
      </w:pPr>
      <w:r w:rsidRPr="00B37FD0">
        <w:rPr>
          <w:rFonts w:ascii="Arial" w:hAnsi="Arial" w:cs="Arial"/>
          <w:b/>
          <w:u w:val="single"/>
          <w:lang w:eastAsia="zh-CN"/>
        </w:rPr>
        <w:t>Whether UE can support multiple active spatial relation info for PUSCH and PUCCH.</w:t>
      </w:r>
    </w:p>
    <w:p w:rsidR="00B37FD0" w:rsidRPr="00B37FD0" w:rsidRDefault="00B37FD0" w:rsidP="00B37FD0">
      <w:pPr>
        <w:rPr>
          <w:lang w:val="en-GB" w:eastAsia="en-US"/>
        </w:rPr>
      </w:pPr>
    </w:p>
    <w:p w:rsidR="00C114AA" w:rsidRDefault="00B37FD0" w:rsidP="009120A3">
      <w:pPr>
        <w:spacing w:before="120"/>
      </w:pPr>
      <w:r>
        <w:rPr>
          <w:rFonts w:ascii="Arial" w:eastAsia="MS Mincho" w:hAnsi="Arial" w:cs="Arial"/>
          <w:b/>
          <w:sz w:val="28"/>
          <w:szCs w:val="28"/>
          <w:u w:val="single"/>
          <w:lang w:val="en-GB"/>
        </w:rPr>
        <w:t>2.2</w:t>
      </w:r>
      <w:r w:rsidR="00C114AA" w:rsidRPr="00F116B8">
        <w:rPr>
          <w:rFonts w:ascii="Arial" w:eastAsia="MS Mincho" w:hAnsi="Arial" w:cs="Arial"/>
          <w:b/>
          <w:sz w:val="28"/>
          <w:szCs w:val="28"/>
          <w:u w:val="single"/>
          <w:lang w:val="en-GB"/>
        </w:rPr>
        <w:t xml:space="preserve"> </w:t>
      </w:r>
      <w:r w:rsidR="00A01909">
        <w:rPr>
          <w:rFonts w:ascii="Arial" w:eastAsia="MS Mincho" w:hAnsi="Arial" w:cs="Arial"/>
          <w:b/>
          <w:sz w:val="28"/>
          <w:szCs w:val="28"/>
          <w:u w:val="single"/>
          <w:lang w:val="en-GB"/>
        </w:rPr>
        <w:t>UE reported capability structure</w:t>
      </w:r>
    </w:p>
    <w:p w:rsidR="00A01909" w:rsidRDefault="00A01909" w:rsidP="009120A3">
      <w:pPr>
        <w:spacing w:before="120"/>
      </w:pPr>
      <w:r>
        <w:t xml:space="preserve">In the RAN2 LS [1], it </w:t>
      </w:r>
      <w:r w:rsidRPr="00A01909">
        <w:t>assumes that the UE capabilities for DAPS can be indicated e.g. similar as the band combination for CA/DC</w:t>
      </w:r>
      <w:r>
        <w:t xml:space="preserve">, therefore, we recommend to introduce </w:t>
      </w:r>
      <w:r>
        <w:rPr>
          <w:highlight w:val="cyan"/>
        </w:rPr>
        <w:t>daps-Parameters</w:t>
      </w:r>
      <w:r>
        <w:t xml:space="preserve"> in </w:t>
      </w:r>
      <w:r w:rsidRPr="00A01909">
        <w:rPr>
          <w:highlight w:val="yellow"/>
        </w:rPr>
        <w:t>BandCombination</w:t>
      </w:r>
    </w:p>
    <w:p w:rsidR="00A01909" w:rsidRDefault="00A01909" w:rsidP="00A01909">
      <w:pPr>
        <w:spacing w:before="120"/>
      </w:pPr>
      <w:r w:rsidRPr="00A01909">
        <w:t xml:space="preserve">The high level </w:t>
      </w:r>
      <w:r>
        <w:t>capability structure is shown below:</w:t>
      </w:r>
    </w:p>
    <w:p w:rsidR="00A01909" w:rsidRDefault="00665C1A" w:rsidP="00A01909">
      <w:pPr>
        <w:spacing w:before="120"/>
      </w:pPr>
      <w:r>
        <w:rPr>
          <w:noProof/>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188156</wp:posOffset>
                </wp:positionV>
                <wp:extent cx="6244590" cy="1627505"/>
                <wp:effectExtent l="0" t="0" r="2286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4590" cy="1627833"/>
                        </a:xfrm>
                        <a:prstGeom prst="rect">
                          <a:avLst/>
                        </a:prstGeom>
                        <a:solidFill>
                          <a:srgbClr val="FFFFFF"/>
                        </a:solidFill>
                        <a:ln w="9525">
                          <a:solidFill>
                            <a:srgbClr val="000000"/>
                          </a:solidFill>
                          <a:miter lim="800000"/>
                          <a:headEnd/>
                          <a:tailEnd/>
                        </a:ln>
                      </wps:spPr>
                      <wps:txbx>
                        <w:txbxContent>
                          <w:p w:rsidR="00665C1A" w:rsidRDefault="00665C1A" w:rsidP="00665C1A">
                            <w:pPr>
                              <w:rPr>
                                <w:sz w:val="22"/>
                                <w:szCs w:val="22"/>
                              </w:rPr>
                            </w:pPr>
                            <w:r w:rsidRPr="00A01909">
                              <w:rPr>
                                <w:highlight w:val="yellow"/>
                              </w:rPr>
                              <w:t>BandCombination</w:t>
                            </w:r>
                          </w:p>
                          <w:p w:rsidR="00665C1A" w:rsidRDefault="00665C1A" w:rsidP="00665C1A">
                            <w:pPr>
                              <w:pStyle w:val="a4"/>
                              <w:numPr>
                                <w:ilvl w:val="0"/>
                                <w:numId w:val="25"/>
                              </w:numPr>
                              <w:contextualSpacing w:val="0"/>
                            </w:pPr>
                            <w:r>
                              <w:t>bandList SEQUENCE (SIZE (1..maxSimultaneousBands)) OF BandParameters,</w:t>
                            </w:r>
                          </w:p>
                          <w:p w:rsidR="00665C1A" w:rsidRDefault="00665C1A" w:rsidP="00665C1A">
                            <w:pPr>
                              <w:pStyle w:val="a4"/>
                              <w:numPr>
                                <w:ilvl w:val="0"/>
                                <w:numId w:val="25"/>
                              </w:numPr>
                              <w:contextualSpacing w:val="0"/>
                            </w:pPr>
                            <w:r>
                              <w:t>featureSetCombination FeatureSetCombinationId,</w:t>
                            </w:r>
                          </w:p>
                          <w:p w:rsidR="00665C1A" w:rsidRDefault="00665C1A" w:rsidP="00665C1A">
                            <w:pPr>
                              <w:pStyle w:val="a4"/>
                              <w:numPr>
                                <w:ilvl w:val="0"/>
                                <w:numId w:val="25"/>
                              </w:numPr>
                              <w:contextualSpacing w:val="0"/>
                            </w:pPr>
                            <w:r>
                              <w:t>ca-ParametersEUTRA CA-ParametersEUTRA OPTIONAL,</w:t>
                            </w:r>
                          </w:p>
                          <w:p w:rsidR="00665C1A" w:rsidRDefault="00665C1A" w:rsidP="00665C1A">
                            <w:pPr>
                              <w:pStyle w:val="a4"/>
                              <w:numPr>
                                <w:ilvl w:val="0"/>
                                <w:numId w:val="25"/>
                              </w:numPr>
                              <w:contextualSpacing w:val="0"/>
                            </w:pPr>
                            <w:r>
                              <w:t>ca-ParametersNR CA-ParametersNR OPTIONAL,</w:t>
                            </w:r>
                          </w:p>
                          <w:p w:rsidR="00665C1A" w:rsidRDefault="00665C1A" w:rsidP="00665C1A">
                            <w:pPr>
                              <w:pStyle w:val="a4"/>
                              <w:numPr>
                                <w:ilvl w:val="0"/>
                                <w:numId w:val="25"/>
                              </w:numPr>
                              <w:contextualSpacing w:val="0"/>
                            </w:pPr>
                            <w:r>
                              <w:t>mrdc-Parameters MRDC-Parameters OPTIONAL,</w:t>
                            </w:r>
                          </w:p>
                          <w:p w:rsidR="00665C1A" w:rsidRDefault="00665C1A" w:rsidP="00665C1A">
                            <w:pPr>
                              <w:pStyle w:val="a4"/>
                              <w:numPr>
                                <w:ilvl w:val="0"/>
                                <w:numId w:val="25"/>
                              </w:numPr>
                              <w:contextualSpacing w:val="0"/>
                            </w:pPr>
                            <w:r>
                              <w:t>…</w:t>
                            </w:r>
                          </w:p>
                          <w:p w:rsidR="00665C1A" w:rsidRDefault="00665C1A" w:rsidP="00665C1A">
                            <w:pPr>
                              <w:pStyle w:val="a4"/>
                              <w:numPr>
                                <w:ilvl w:val="0"/>
                                <w:numId w:val="25"/>
                              </w:numPr>
                              <w:contextualSpacing w:val="0"/>
                            </w:pPr>
                            <w:r>
                              <w:rPr>
                                <w:highlight w:val="cyan"/>
                              </w:rPr>
                              <w:t>daps-Parameters</w:t>
                            </w:r>
                          </w:p>
                          <w:p w:rsidR="00665C1A" w:rsidRDefault="00665C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0;margin-top:14.8pt;width:491.7pt;height:128.1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">
                <v:textbox>
                  <w:txbxContent>
                    <w:p w:rsidR="00665C1A" w:rsidRDefault="00665C1A" w:rsidP="00665C1A">
                      <w:pPr>
                        <w:rPr>
                          <w:sz w:val="22"/>
                          <w:szCs w:val="22"/>
                        </w:rPr>
                      </w:pPr>
                      <w:r w:rsidRPr="00A01909">
                        <w:rPr>
                          <w:highlight w:val="yellow"/>
                        </w:rPr>
                        <w:t>BandCombination</w:t>
                      </w:r>
                    </w:p>
                    <w:p w:rsidR="00665C1A" w:rsidRDefault="00665C1A" w:rsidP="00665C1A">
                      <w:pPr>
                        <w:pStyle w:val="a4"/>
                        <w:numPr>
                          <w:ilvl w:val="0"/>
                          <w:numId w:val="25"/>
                        </w:numPr>
                        <w:contextualSpacing w:val="0"/>
                      </w:pPr>
                      <w:r>
                        <w:t>bandList SEQUENCE (SIZE (1..maxSimultaneousBands)) OF BandParameters,</w:t>
                      </w:r>
                    </w:p>
                    <w:p w:rsidR="00665C1A" w:rsidRDefault="00665C1A" w:rsidP="00665C1A">
                      <w:pPr>
                        <w:pStyle w:val="a4"/>
                        <w:numPr>
                          <w:ilvl w:val="0"/>
                          <w:numId w:val="25"/>
                        </w:numPr>
                        <w:contextualSpacing w:val="0"/>
                      </w:pPr>
                      <w:r>
                        <w:t>featureSetCombination FeatureSetCombinationId,</w:t>
                      </w:r>
                    </w:p>
                    <w:p w:rsidR="00665C1A" w:rsidRDefault="00665C1A" w:rsidP="00665C1A">
                      <w:pPr>
                        <w:pStyle w:val="a4"/>
                        <w:numPr>
                          <w:ilvl w:val="0"/>
                          <w:numId w:val="25"/>
                        </w:numPr>
                        <w:contextualSpacing w:val="0"/>
                      </w:pPr>
                      <w:r>
                        <w:t>ca-ParametersEUTRA CA-ParametersEUTRA OPTIONAL,</w:t>
                      </w:r>
                    </w:p>
                    <w:p w:rsidR="00665C1A" w:rsidRDefault="00665C1A" w:rsidP="00665C1A">
                      <w:pPr>
                        <w:pStyle w:val="a4"/>
                        <w:numPr>
                          <w:ilvl w:val="0"/>
                          <w:numId w:val="25"/>
                        </w:numPr>
                        <w:contextualSpacing w:val="0"/>
                      </w:pPr>
                      <w:r>
                        <w:t>ca-ParametersNR CA-ParametersNR OPTIONAL,</w:t>
                      </w:r>
                    </w:p>
                    <w:p w:rsidR="00665C1A" w:rsidRDefault="00665C1A" w:rsidP="00665C1A">
                      <w:pPr>
                        <w:pStyle w:val="a4"/>
                        <w:numPr>
                          <w:ilvl w:val="0"/>
                          <w:numId w:val="25"/>
                        </w:numPr>
                        <w:contextualSpacing w:val="0"/>
                      </w:pPr>
                      <w:r>
                        <w:t>mrdc-Parameters MRDC-Parameters OPTIONAL,</w:t>
                      </w:r>
                    </w:p>
                    <w:p w:rsidR="00665C1A" w:rsidRDefault="00665C1A" w:rsidP="00665C1A">
                      <w:pPr>
                        <w:pStyle w:val="a4"/>
                        <w:numPr>
                          <w:ilvl w:val="0"/>
                          <w:numId w:val="25"/>
                        </w:numPr>
                        <w:contextualSpacing w:val="0"/>
                      </w:pPr>
                      <w:r>
                        <w:t>…</w:t>
                      </w:r>
                    </w:p>
                    <w:p w:rsidR="00665C1A" w:rsidRDefault="00665C1A" w:rsidP="00665C1A">
                      <w:pPr>
                        <w:pStyle w:val="a4"/>
                        <w:numPr>
                          <w:ilvl w:val="0"/>
                          <w:numId w:val="25"/>
                        </w:numPr>
                        <w:contextualSpacing w:val="0"/>
                      </w:pPr>
                      <w:r>
                        <w:rPr>
                          <w:highlight w:val="cyan"/>
                        </w:rPr>
                        <w:t>daps-Parameters</w:t>
                      </w:r>
                    </w:p>
                    <w:p w:rsidR="00665C1A" w:rsidRDefault="00665C1A"/>
                  </w:txbxContent>
                </v:textbox>
                <w10:wrap type="square" anchorx="margin"/>
              </v:shape>
            </w:pict>
          </mc:Fallback>
        </mc:AlternateContent>
      </w:r>
    </w:p>
    <w:p w:rsidR="00665C1A" w:rsidRDefault="00665C1A" w:rsidP="00A01909">
      <w:pPr>
        <w:spacing w:before="120"/>
      </w:pPr>
    </w:p>
    <w:p w:rsidR="00665C1A" w:rsidRDefault="00665C1A" w:rsidP="00A01909">
      <w:pPr>
        <w:spacing w:before="120"/>
      </w:pPr>
    </w:p>
    <w:p w:rsidR="00665C1A" w:rsidRDefault="00665C1A" w:rsidP="00A01909">
      <w:pPr>
        <w:spacing w:before="120"/>
      </w:pPr>
    </w:p>
    <w:p w:rsidR="00665C1A" w:rsidRDefault="00665C1A" w:rsidP="00A01909">
      <w:pPr>
        <w:ind w:left="360"/>
        <w:rPr>
          <w:highlight w:val="yellow"/>
        </w:rPr>
      </w:pPr>
    </w:p>
    <w:p w:rsidR="00665C1A" w:rsidRDefault="00665C1A" w:rsidP="00A01909">
      <w:pPr>
        <w:ind w:left="360"/>
        <w:rPr>
          <w:highlight w:val="yellow"/>
        </w:rPr>
      </w:pPr>
    </w:p>
    <w:p w:rsidR="00665C1A" w:rsidRDefault="00665C1A" w:rsidP="00A01909">
      <w:pPr>
        <w:ind w:left="360"/>
        <w:rPr>
          <w:highlight w:val="yellow"/>
        </w:rPr>
      </w:pPr>
    </w:p>
    <w:p w:rsidR="00665C1A" w:rsidRDefault="00665C1A" w:rsidP="00A01909">
      <w:pPr>
        <w:ind w:left="360"/>
        <w:rPr>
          <w:highlight w:val="yellow"/>
        </w:rPr>
      </w:pPr>
    </w:p>
    <w:p w:rsidR="00DD2BE4" w:rsidRDefault="00DD2BE4" w:rsidP="00A01909">
      <w:pPr>
        <w:spacing w:before="120"/>
      </w:pPr>
    </w:p>
    <w:p w:rsidR="005B7B21" w:rsidRDefault="0051114C" w:rsidP="00A01909">
      <w:pPr>
        <w:spacing w:before="120"/>
      </w:pPr>
      <w:r>
        <w:lastRenderedPageBreak/>
        <w:t xml:space="preserve">For inter-band DAPS, similar capability structure as DC can be reused. The inter-band DAPS capability should be reported </w:t>
      </w:r>
      <w:r w:rsidRPr="005B7B21">
        <w:rPr>
          <w:b/>
        </w:rPr>
        <w:t>per band combination</w:t>
      </w:r>
      <w:r>
        <w:t xml:space="preserve"> just like DC.</w:t>
      </w:r>
    </w:p>
    <w:p w:rsidR="005B7B21" w:rsidRPr="00A01909" w:rsidRDefault="00AE6EEE" w:rsidP="00A01909">
      <w:pPr>
        <w:spacing w:before="120"/>
      </w:pPr>
      <w:r>
        <w:t xml:space="preserve">For intra-band DAPS, the capability should be reported </w:t>
      </w:r>
      <w:r w:rsidRPr="00AE6EEE">
        <w:rPr>
          <w:b/>
        </w:rPr>
        <w:t>per band</w:t>
      </w:r>
      <w:r>
        <w:t xml:space="preserve"> under </w:t>
      </w:r>
      <w:r>
        <w:rPr>
          <w:highlight w:val="cyan"/>
        </w:rPr>
        <w:t>daps-Parameters</w:t>
      </w:r>
      <w:r>
        <w:t xml:space="preserve"> </w:t>
      </w:r>
      <w:r w:rsidR="0049235F">
        <w:t>(per band is also one band combination)</w:t>
      </w:r>
    </w:p>
    <w:p w:rsidR="00D569AD" w:rsidRDefault="00D569AD" w:rsidP="00D569AD">
      <w:pPr>
        <w:jc w:val="both"/>
        <w:rPr>
          <w:szCs w:val="22"/>
        </w:rPr>
      </w:pPr>
    </w:p>
    <w:p w:rsidR="00EF3CF5" w:rsidRDefault="00665C1A" w:rsidP="00D569AD">
      <w:pPr>
        <w:jc w:val="both"/>
        <w:rPr>
          <w:szCs w:val="22"/>
        </w:rPr>
      </w:pPr>
      <w:r w:rsidRPr="00665C1A">
        <w:rPr>
          <w:noProof/>
          <w:szCs w:val="22"/>
        </w:rPr>
        <mc:AlternateContent>
          <mc:Choice Requires="wps">
            <w:drawing>
              <wp:anchor distT="45720" distB="45720" distL="114300" distR="114300" simplePos="0" relativeHeight="251661312" behindDoc="0" locked="0" layoutInCell="1" allowOverlap="1">
                <wp:simplePos x="0" y="0"/>
                <wp:positionH relativeFrom="margin">
                  <wp:align>left</wp:align>
                </wp:positionH>
                <wp:positionV relativeFrom="paragraph">
                  <wp:posOffset>353695</wp:posOffset>
                </wp:positionV>
                <wp:extent cx="6515735" cy="878840"/>
                <wp:effectExtent l="0" t="0" r="18415" b="1651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735" cy="879231"/>
                        </a:xfrm>
                        <a:prstGeom prst="rect">
                          <a:avLst/>
                        </a:prstGeom>
                        <a:solidFill>
                          <a:srgbClr val="FFFFFF"/>
                        </a:solidFill>
                        <a:ln w="9525">
                          <a:solidFill>
                            <a:srgbClr val="000000"/>
                          </a:solidFill>
                          <a:miter lim="800000"/>
                          <a:headEnd/>
                          <a:tailEnd/>
                        </a:ln>
                      </wps:spPr>
                      <wps:txbx>
                        <w:txbxContent>
                          <w:p w:rsidR="00665C1A" w:rsidRPr="00DA5237" w:rsidRDefault="00665C1A" w:rsidP="00665C1A">
                            <w:pPr>
                              <w:rPr>
                                <w:i/>
                                <w:sz w:val="22"/>
                                <w:szCs w:val="22"/>
                              </w:rPr>
                            </w:pPr>
                            <w:r w:rsidRPr="00DA5237">
                              <w:rPr>
                                <w:i/>
                                <w:highlight w:val="cyan"/>
                              </w:rPr>
                              <w:t>DAPS-Parameters</w:t>
                            </w:r>
                          </w:p>
                          <w:p w:rsidR="00665C1A" w:rsidRDefault="00665C1A" w:rsidP="00665C1A">
                            <w:pPr>
                              <w:pStyle w:val="a4"/>
                              <w:numPr>
                                <w:ilvl w:val="0"/>
                                <w:numId w:val="25"/>
                              </w:numPr>
                              <w:contextualSpacing w:val="0"/>
                            </w:pPr>
                            <w:r>
                              <w:t>Support inter-band DAPS for this</w:t>
                            </w:r>
                            <w:r w:rsidR="00DA5237">
                              <w:t xml:space="preserve"> band combination</w:t>
                            </w:r>
                            <w:r>
                              <w:t>?</w:t>
                            </w:r>
                          </w:p>
                          <w:p w:rsidR="00665C1A" w:rsidRDefault="00665C1A" w:rsidP="00665C1A">
                            <w:pPr>
                              <w:pStyle w:val="a4"/>
                              <w:numPr>
                                <w:ilvl w:val="0"/>
                                <w:numId w:val="25"/>
                              </w:numPr>
                              <w:contextualSpacing w:val="0"/>
                            </w:pPr>
                            <w:r>
                              <w:t xml:space="preserve">Support intra-band DAPS for bands within this </w:t>
                            </w:r>
                            <w:r w:rsidR="00DA5237" w:rsidRPr="00DA5237">
                              <w:t>band combination</w:t>
                            </w:r>
                            <w:r>
                              <w:t>?</w:t>
                            </w:r>
                          </w:p>
                          <w:p w:rsidR="00665C1A" w:rsidRPr="00665C1A" w:rsidRDefault="00665C1A" w:rsidP="00665C1A">
                            <w:pPr>
                              <w:pStyle w:val="a4"/>
                              <w:numPr>
                                <w:ilvl w:val="0"/>
                                <w:numId w:val="25"/>
                              </w:numPr>
                              <w:contextualSpacing w:val="0"/>
                              <w:rPr>
                                <w:b/>
                                <w:u w:val="single"/>
                              </w:rPr>
                            </w:pPr>
                            <w:r w:rsidRPr="00665C1A">
                              <w:rPr>
                                <w:b/>
                                <w:u w:val="single"/>
                              </w:rPr>
                              <w:t>Others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0;margin-top:27.85pt;width:513.05pt;height:69.2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">
                <v:textbox>
                  <w:txbxContent>
                    <w:p w:rsidR="00665C1A" w:rsidRPr="00DA5237" w:rsidRDefault="00665C1A" w:rsidP="00665C1A">
                      <w:pPr>
                        <w:rPr>
                          <w:i/>
                          <w:sz w:val="22"/>
                          <w:szCs w:val="22"/>
                        </w:rPr>
                      </w:pPr>
                      <w:r w:rsidRPr="00DA5237">
                        <w:rPr>
                          <w:i/>
                          <w:highlight w:val="cyan"/>
                        </w:rPr>
                        <w:t>DAPS-Parameters</w:t>
                      </w:r>
                    </w:p>
                    <w:p w:rsidR="00665C1A" w:rsidRDefault="00665C1A" w:rsidP="00665C1A">
                      <w:pPr>
                        <w:pStyle w:val="a4"/>
                        <w:numPr>
                          <w:ilvl w:val="0"/>
                          <w:numId w:val="25"/>
                        </w:numPr>
                        <w:contextualSpacing w:val="0"/>
                      </w:pPr>
                      <w:r>
                        <w:t>Support inter-band DAPS for this</w:t>
                      </w:r>
                      <w:r w:rsidR="00DA5237">
                        <w:t xml:space="preserve"> band combination</w:t>
                      </w:r>
                      <w:r>
                        <w:t>?</w:t>
                      </w:r>
                    </w:p>
                    <w:p w:rsidR="00665C1A" w:rsidRDefault="00665C1A" w:rsidP="00665C1A">
                      <w:pPr>
                        <w:pStyle w:val="a4"/>
                        <w:numPr>
                          <w:ilvl w:val="0"/>
                          <w:numId w:val="25"/>
                        </w:numPr>
                        <w:contextualSpacing w:val="0"/>
                      </w:pPr>
                      <w:r>
                        <w:t xml:space="preserve">Support intra-band DAPS for bands within this </w:t>
                      </w:r>
                      <w:r w:rsidR="00DA5237" w:rsidRPr="00DA5237">
                        <w:t>band combination</w:t>
                      </w:r>
                      <w:r>
                        <w:t>?</w:t>
                      </w:r>
                    </w:p>
                    <w:p w:rsidR="00665C1A" w:rsidRPr="00665C1A" w:rsidRDefault="00665C1A" w:rsidP="00665C1A">
                      <w:pPr>
                        <w:pStyle w:val="a4"/>
                        <w:numPr>
                          <w:ilvl w:val="0"/>
                          <w:numId w:val="25"/>
                        </w:numPr>
                        <w:contextualSpacing w:val="0"/>
                        <w:rPr>
                          <w:b/>
                          <w:u w:val="single"/>
                        </w:rPr>
                      </w:pPr>
                      <w:r w:rsidRPr="00665C1A">
                        <w:rPr>
                          <w:b/>
                          <w:u w:val="single"/>
                        </w:rPr>
                        <w:t>Others</w:t>
                      </w:r>
                    </w:p>
                  </w:txbxContent>
                </v:textbox>
                <w10:wrap type="square" anchorx="margin"/>
              </v:shape>
            </w:pict>
          </mc:Fallback>
        </mc:AlternateContent>
      </w:r>
      <w:r w:rsidR="00EF3CF5">
        <w:rPr>
          <w:szCs w:val="22"/>
        </w:rPr>
        <w:t>The capability structure would be like below:</w:t>
      </w:r>
    </w:p>
    <w:p w:rsidR="00EF3CF5" w:rsidRDefault="00EF3CF5" w:rsidP="00D569AD">
      <w:pPr>
        <w:jc w:val="both"/>
        <w:rPr>
          <w:szCs w:val="22"/>
        </w:rPr>
      </w:pPr>
    </w:p>
    <w:p w:rsidR="00EF3CF5" w:rsidRDefault="00665C1A" w:rsidP="00D569AD">
      <w:pPr>
        <w:jc w:val="both"/>
        <w:rPr>
          <w:szCs w:val="22"/>
        </w:rPr>
      </w:pPr>
      <w:r>
        <w:rPr>
          <w:szCs w:val="22"/>
        </w:rPr>
        <w:t>l</w:t>
      </w:r>
      <w:r w:rsidR="00EF3CF5">
        <w:rPr>
          <w:szCs w:val="22"/>
        </w:rPr>
        <w:t>ike the MRDC one</w:t>
      </w:r>
    </w:p>
    <w:p w:rsidR="0049235F" w:rsidRDefault="00665C1A" w:rsidP="00D569AD">
      <w:pPr>
        <w:jc w:val="both"/>
        <w:rPr>
          <w:szCs w:val="22"/>
        </w:rPr>
      </w:pPr>
      <w:r>
        <w:rPr>
          <w:noProof/>
        </w:rPr>
        <w:drawing>
          <wp:inline distT="0" distB="0" distL="0" distR="0" wp14:anchorId="5A8BE740" wp14:editId="4DCEA75F">
            <wp:extent cx="6858000" cy="271399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58000" cy="2713990"/>
                    </a:xfrm>
                    <a:prstGeom prst="rect">
                      <a:avLst/>
                    </a:prstGeom>
                  </pic:spPr>
                </pic:pic>
              </a:graphicData>
            </a:graphic>
          </wp:inline>
        </w:drawing>
      </w:r>
    </w:p>
    <w:p w:rsidR="00665C1A" w:rsidRDefault="00665C1A" w:rsidP="00D569AD">
      <w:pPr>
        <w:jc w:val="both"/>
        <w:rPr>
          <w:szCs w:val="22"/>
        </w:rPr>
      </w:pPr>
    </w:p>
    <w:p w:rsidR="00665C1A" w:rsidRDefault="002B4E89" w:rsidP="00D569AD">
      <w:pPr>
        <w:jc w:val="both"/>
        <w:rPr>
          <w:szCs w:val="22"/>
        </w:rPr>
      </w:pPr>
      <w:r>
        <w:rPr>
          <w:szCs w:val="22"/>
        </w:rPr>
        <w:t>or</w:t>
      </w:r>
      <w:r w:rsidR="00665C1A">
        <w:rPr>
          <w:szCs w:val="22"/>
        </w:rPr>
        <w:t xml:space="preserve"> the CA one</w:t>
      </w:r>
    </w:p>
    <w:p w:rsidR="00665C1A" w:rsidRDefault="00665C1A" w:rsidP="00D569AD">
      <w:pPr>
        <w:jc w:val="both"/>
        <w:rPr>
          <w:szCs w:val="22"/>
        </w:rPr>
      </w:pPr>
      <w:r>
        <w:rPr>
          <w:noProof/>
        </w:rPr>
        <w:drawing>
          <wp:inline distT="0" distB="0" distL="0" distR="0" wp14:anchorId="1DB2390B" wp14:editId="6EB3D61A">
            <wp:extent cx="6858000" cy="205930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858000" cy="2059305"/>
                    </a:xfrm>
                    <a:prstGeom prst="rect">
                      <a:avLst/>
                    </a:prstGeom>
                  </pic:spPr>
                </pic:pic>
              </a:graphicData>
            </a:graphic>
          </wp:inline>
        </w:drawing>
      </w:r>
    </w:p>
    <w:p w:rsidR="0051114C" w:rsidRDefault="0051114C" w:rsidP="00D569AD">
      <w:pPr>
        <w:jc w:val="both"/>
        <w:rPr>
          <w:szCs w:val="22"/>
        </w:rPr>
      </w:pPr>
    </w:p>
    <w:p w:rsidR="00D72603" w:rsidRDefault="00D72603" w:rsidP="00D569AD">
      <w:pPr>
        <w:jc w:val="both"/>
        <w:rPr>
          <w:szCs w:val="22"/>
        </w:rPr>
      </w:pPr>
      <w:r w:rsidRPr="00D72603">
        <w:rPr>
          <w:noProof/>
          <w:szCs w:val="22"/>
        </w:rPr>
        <mc:AlternateContent>
          <mc:Choice Requires="wps">
            <w:drawing>
              <wp:anchor distT="45720" distB="45720" distL="114300" distR="114300" simplePos="0" relativeHeight="251663360" behindDoc="0" locked="0" layoutInCell="1" allowOverlap="1">
                <wp:simplePos x="0" y="0"/>
                <wp:positionH relativeFrom="column">
                  <wp:posOffset>14605</wp:posOffset>
                </wp:positionH>
                <wp:positionV relativeFrom="paragraph">
                  <wp:posOffset>281940</wp:posOffset>
                </wp:positionV>
                <wp:extent cx="6536055" cy="918845"/>
                <wp:effectExtent l="0" t="0" r="17145" b="146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6055" cy="918845"/>
                        </a:xfrm>
                        <a:prstGeom prst="rect">
                          <a:avLst/>
                        </a:prstGeom>
                        <a:solidFill>
                          <a:srgbClr val="FFFFFF"/>
                        </a:solidFill>
                        <a:ln w="9525">
                          <a:solidFill>
                            <a:srgbClr val="000000"/>
                          </a:solidFill>
                          <a:miter lim="800000"/>
                          <a:headEnd/>
                          <a:tailEnd/>
                        </a:ln>
                      </wps:spPr>
                      <wps:txbx>
                        <w:txbxContent>
                          <w:p w:rsidR="00D72603" w:rsidRPr="00075F1D" w:rsidRDefault="00D72603" w:rsidP="00D72603">
                            <w:pPr>
                              <w:tabs>
                                <w:tab w:val="center" w:pos="4153"/>
                                <w:tab w:val="right" w:pos="8306"/>
                              </w:tabs>
                              <w:rPr>
                                <w:rFonts w:ascii="Arial" w:hAnsi="Arial" w:cs="Arial"/>
                                <w:sz w:val="22"/>
                                <w:szCs w:val="22"/>
                              </w:rPr>
                            </w:pPr>
                            <w:r w:rsidRPr="00075F1D">
                              <w:rPr>
                                <w:rFonts w:ascii="Arial" w:hAnsi="Arial" w:cs="Arial"/>
                                <w:sz w:val="22"/>
                                <w:szCs w:val="22"/>
                              </w:rPr>
                              <w:t xml:space="preserve">- </w:t>
                            </w:r>
                            <w:r w:rsidRPr="00075F1D">
                              <w:rPr>
                                <w:rFonts w:ascii="Arial" w:hAnsi="Arial" w:cs="Arial"/>
                                <w:sz w:val="22"/>
                                <w:szCs w:val="22"/>
                                <w:highlight w:val="yellow"/>
                              </w:rPr>
                              <w:t>sync/async</w:t>
                            </w:r>
                            <w:r w:rsidRPr="00075F1D">
                              <w:rPr>
                                <w:rFonts w:ascii="Arial" w:hAnsi="Arial" w:cs="Arial"/>
                                <w:sz w:val="22"/>
                                <w:szCs w:val="22"/>
                              </w:rPr>
                              <w:t xml:space="preserve"> DAPS HO ;</w:t>
                            </w:r>
                          </w:p>
                          <w:p w:rsidR="00D72603" w:rsidRPr="00075F1D" w:rsidRDefault="00D72603" w:rsidP="00D72603">
                            <w:pPr>
                              <w:tabs>
                                <w:tab w:val="center" w:pos="4153"/>
                                <w:tab w:val="right" w:pos="8306"/>
                              </w:tabs>
                              <w:rPr>
                                <w:rFonts w:ascii="Arial" w:hAnsi="Arial" w:cs="Arial"/>
                                <w:sz w:val="22"/>
                                <w:szCs w:val="22"/>
                              </w:rPr>
                            </w:pPr>
                            <w:r w:rsidRPr="00075F1D">
                              <w:rPr>
                                <w:rFonts w:ascii="Arial" w:hAnsi="Arial" w:cs="Arial"/>
                                <w:sz w:val="22"/>
                                <w:szCs w:val="22"/>
                              </w:rPr>
                              <w:t xml:space="preserve">- support for </w:t>
                            </w:r>
                            <w:r w:rsidRPr="00075F1D">
                              <w:rPr>
                                <w:rFonts w:ascii="Arial" w:hAnsi="Arial" w:cs="Arial"/>
                                <w:sz w:val="22"/>
                                <w:szCs w:val="22"/>
                                <w:highlight w:val="yellow"/>
                              </w:rPr>
                              <w:t>multiple TAG</w:t>
                            </w:r>
                            <w:r w:rsidRPr="00075F1D">
                              <w:rPr>
                                <w:rFonts w:ascii="Arial" w:hAnsi="Arial" w:cs="Arial"/>
                                <w:sz w:val="22"/>
                                <w:szCs w:val="22"/>
                              </w:rPr>
                              <w:t xml:space="preserve"> (i.e. different TAG in source and target cells)</w:t>
                            </w:r>
                          </w:p>
                          <w:p w:rsidR="00D72603" w:rsidRPr="00075F1D" w:rsidRDefault="00D72603" w:rsidP="00D72603">
                            <w:pPr>
                              <w:tabs>
                                <w:tab w:val="center" w:pos="4153"/>
                                <w:tab w:val="right" w:pos="8306"/>
                              </w:tabs>
                              <w:rPr>
                                <w:rFonts w:ascii="Arial" w:hAnsi="Arial" w:cs="Arial"/>
                                <w:sz w:val="22"/>
                                <w:szCs w:val="22"/>
                              </w:rPr>
                            </w:pPr>
                            <w:r w:rsidRPr="00075F1D">
                              <w:rPr>
                                <w:rFonts w:ascii="Arial" w:hAnsi="Arial" w:cs="Arial"/>
                                <w:sz w:val="22"/>
                                <w:szCs w:val="22"/>
                              </w:rPr>
                              <w:t xml:space="preserve">- ability to simultaneously transmit with both source and target PCells based on RF chain capability (i.e. </w:t>
                            </w:r>
                            <w:r w:rsidRPr="002F62D5">
                              <w:rPr>
                                <w:rFonts w:ascii="Arial" w:hAnsi="Arial" w:cs="Arial"/>
                                <w:sz w:val="22"/>
                                <w:szCs w:val="22"/>
                                <w:highlight w:val="yellow"/>
                              </w:rPr>
                              <w:t>whether d</w:t>
                            </w:r>
                            <w:r w:rsidRPr="00075F1D">
                              <w:rPr>
                                <w:rFonts w:ascii="Arial" w:hAnsi="Arial" w:cs="Arial"/>
                                <w:sz w:val="22"/>
                                <w:szCs w:val="22"/>
                                <w:highlight w:val="yellow"/>
                              </w:rPr>
                              <w:t>ual UL is supported during the DAPS HO or not</w:t>
                            </w:r>
                            <w:r w:rsidRPr="00075F1D">
                              <w:rPr>
                                <w:rFonts w:ascii="Arial" w:hAnsi="Arial" w:cs="Arial"/>
                                <w:sz w:val="22"/>
                                <w:szCs w:val="22"/>
                              </w:rPr>
                              <w:t>);</w:t>
                            </w:r>
                          </w:p>
                          <w:p w:rsidR="00D72603" w:rsidRPr="00075F1D" w:rsidRDefault="00D72603" w:rsidP="00D72603">
                            <w:pPr>
                              <w:tabs>
                                <w:tab w:val="center" w:pos="4153"/>
                                <w:tab w:val="right" w:pos="8306"/>
                              </w:tabs>
                              <w:rPr>
                                <w:rFonts w:ascii="Arial" w:hAnsi="Arial" w:cs="Arial"/>
                                <w:sz w:val="22"/>
                                <w:szCs w:val="22"/>
                              </w:rPr>
                            </w:pPr>
                            <w:r w:rsidRPr="00075F1D">
                              <w:rPr>
                                <w:rFonts w:ascii="Arial" w:hAnsi="Arial" w:cs="Arial"/>
                                <w:sz w:val="22"/>
                                <w:szCs w:val="22"/>
                              </w:rPr>
                              <w:t>-</w:t>
                            </w:r>
                            <w:r w:rsidRPr="00075F1D">
                              <w:rPr>
                                <w:sz w:val="22"/>
                                <w:szCs w:val="22"/>
                              </w:rPr>
                              <w:t xml:space="preserve"> </w:t>
                            </w:r>
                            <w:r w:rsidRPr="00075F1D">
                              <w:rPr>
                                <w:rFonts w:ascii="Arial" w:hAnsi="Arial" w:cs="Arial"/>
                                <w:sz w:val="22"/>
                                <w:szCs w:val="22"/>
                                <w:highlight w:val="yellow"/>
                              </w:rPr>
                              <w:t>Handover involving different SCS</w:t>
                            </w:r>
                            <w:r w:rsidRPr="00075F1D">
                              <w:rPr>
                                <w:rFonts w:ascii="Arial" w:hAnsi="Arial" w:cs="Arial"/>
                                <w:sz w:val="22"/>
                                <w:szCs w:val="22"/>
                              </w:rPr>
                              <w:t xml:space="preserve"> (as agreed in RAN4)</w:t>
                            </w:r>
                          </w:p>
                          <w:p w:rsidR="00D72603" w:rsidRDefault="00D726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left:0;text-align:left;margin-left:1.15pt;margin-top:22.2pt;width:514.65pt;height:72.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">
                <v:textbox>
                  <w:txbxContent>
                    <w:p w:rsidR="00D72603" w:rsidRPr="00075F1D" w:rsidRDefault="00D72603" w:rsidP="00D72603">
                      <w:pPr>
                        <w:tabs>
                          <w:tab w:val="center" w:pos="4153"/>
                          <w:tab w:val="right" w:pos="8306"/>
                        </w:tabs>
                        <w:rPr>
                          <w:rFonts w:ascii="Arial" w:hAnsi="Arial" w:cs="Arial"/>
                          <w:sz w:val="22"/>
                          <w:szCs w:val="22"/>
                        </w:rPr>
                      </w:pPr>
                      <w:bookmarkStart w:id="2" w:name="_GoBack"/>
                      <w:r w:rsidRPr="00075F1D">
                        <w:rPr>
                          <w:rFonts w:ascii="Arial" w:hAnsi="Arial" w:cs="Arial"/>
                          <w:sz w:val="22"/>
                          <w:szCs w:val="22"/>
                        </w:rPr>
                        <w:t xml:space="preserve">- </w:t>
                      </w:r>
                      <w:r w:rsidRPr="00075F1D">
                        <w:rPr>
                          <w:rFonts w:ascii="Arial" w:hAnsi="Arial" w:cs="Arial"/>
                          <w:sz w:val="22"/>
                          <w:szCs w:val="22"/>
                          <w:highlight w:val="yellow"/>
                        </w:rPr>
                        <w:t>sync/async</w:t>
                      </w:r>
                      <w:r w:rsidRPr="00075F1D">
                        <w:rPr>
                          <w:rFonts w:ascii="Arial" w:hAnsi="Arial" w:cs="Arial"/>
                          <w:sz w:val="22"/>
                          <w:szCs w:val="22"/>
                        </w:rPr>
                        <w:t xml:space="preserve"> DAPS HO ;</w:t>
                      </w:r>
                    </w:p>
                    <w:p w:rsidR="00D72603" w:rsidRPr="00075F1D" w:rsidRDefault="00D72603" w:rsidP="00D72603">
                      <w:pPr>
                        <w:tabs>
                          <w:tab w:val="center" w:pos="4153"/>
                          <w:tab w:val="right" w:pos="8306"/>
                        </w:tabs>
                        <w:rPr>
                          <w:rFonts w:ascii="Arial" w:hAnsi="Arial" w:cs="Arial"/>
                          <w:sz w:val="22"/>
                          <w:szCs w:val="22"/>
                        </w:rPr>
                      </w:pPr>
                      <w:r w:rsidRPr="00075F1D">
                        <w:rPr>
                          <w:rFonts w:ascii="Arial" w:hAnsi="Arial" w:cs="Arial"/>
                          <w:sz w:val="22"/>
                          <w:szCs w:val="22"/>
                        </w:rPr>
                        <w:t xml:space="preserve">- support for </w:t>
                      </w:r>
                      <w:r w:rsidRPr="00075F1D">
                        <w:rPr>
                          <w:rFonts w:ascii="Arial" w:hAnsi="Arial" w:cs="Arial"/>
                          <w:sz w:val="22"/>
                          <w:szCs w:val="22"/>
                          <w:highlight w:val="yellow"/>
                        </w:rPr>
                        <w:t>multiple TAG</w:t>
                      </w:r>
                      <w:r w:rsidRPr="00075F1D">
                        <w:rPr>
                          <w:rFonts w:ascii="Arial" w:hAnsi="Arial" w:cs="Arial"/>
                          <w:sz w:val="22"/>
                          <w:szCs w:val="22"/>
                        </w:rPr>
                        <w:t xml:space="preserve"> (i.e. different TAG in source and target cells)</w:t>
                      </w:r>
                    </w:p>
                    <w:p w:rsidR="00D72603" w:rsidRPr="00075F1D" w:rsidRDefault="00D72603" w:rsidP="00D72603">
                      <w:pPr>
                        <w:tabs>
                          <w:tab w:val="center" w:pos="4153"/>
                          <w:tab w:val="right" w:pos="8306"/>
                        </w:tabs>
                        <w:rPr>
                          <w:rFonts w:ascii="Arial" w:hAnsi="Arial" w:cs="Arial"/>
                          <w:sz w:val="22"/>
                          <w:szCs w:val="22"/>
                        </w:rPr>
                      </w:pPr>
                      <w:r w:rsidRPr="00075F1D">
                        <w:rPr>
                          <w:rFonts w:ascii="Arial" w:hAnsi="Arial" w:cs="Arial"/>
                          <w:sz w:val="22"/>
                          <w:szCs w:val="22"/>
                        </w:rPr>
                        <w:t xml:space="preserve">- ability to simultaneously transmit with both source and target PCells based on RF chain capability (i.e. </w:t>
                      </w:r>
                      <w:r w:rsidRPr="002F62D5">
                        <w:rPr>
                          <w:rFonts w:ascii="Arial" w:hAnsi="Arial" w:cs="Arial"/>
                          <w:sz w:val="22"/>
                          <w:szCs w:val="22"/>
                          <w:highlight w:val="yellow"/>
                        </w:rPr>
                        <w:t>whether d</w:t>
                      </w:r>
                      <w:r w:rsidRPr="00075F1D">
                        <w:rPr>
                          <w:rFonts w:ascii="Arial" w:hAnsi="Arial" w:cs="Arial"/>
                          <w:sz w:val="22"/>
                          <w:szCs w:val="22"/>
                          <w:highlight w:val="yellow"/>
                        </w:rPr>
                        <w:t>ual UL is supported during the DAPS HO or not</w:t>
                      </w:r>
                      <w:r w:rsidRPr="00075F1D">
                        <w:rPr>
                          <w:rFonts w:ascii="Arial" w:hAnsi="Arial" w:cs="Arial"/>
                          <w:sz w:val="22"/>
                          <w:szCs w:val="22"/>
                        </w:rPr>
                        <w:t>);</w:t>
                      </w:r>
                    </w:p>
                    <w:p w:rsidR="00D72603" w:rsidRPr="00075F1D" w:rsidRDefault="00D72603" w:rsidP="00D72603">
                      <w:pPr>
                        <w:tabs>
                          <w:tab w:val="center" w:pos="4153"/>
                          <w:tab w:val="right" w:pos="8306"/>
                        </w:tabs>
                        <w:rPr>
                          <w:rFonts w:ascii="Arial" w:hAnsi="Arial" w:cs="Arial"/>
                          <w:sz w:val="22"/>
                          <w:szCs w:val="22"/>
                        </w:rPr>
                      </w:pPr>
                      <w:r w:rsidRPr="00075F1D">
                        <w:rPr>
                          <w:rFonts w:ascii="Arial" w:hAnsi="Arial" w:cs="Arial"/>
                          <w:sz w:val="22"/>
                          <w:szCs w:val="22"/>
                        </w:rPr>
                        <w:t>-</w:t>
                      </w:r>
                      <w:r w:rsidRPr="00075F1D">
                        <w:rPr>
                          <w:sz w:val="22"/>
                          <w:szCs w:val="22"/>
                        </w:rPr>
                        <w:t xml:space="preserve"> </w:t>
                      </w:r>
                      <w:r w:rsidRPr="00075F1D">
                        <w:rPr>
                          <w:rFonts w:ascii="Arial" w:hAnsi="Arial" w:cs="Arial"/>
                          <w:sz w:val="22"/>
                          <w:szCs w:val="22"/>
                          <w:highlight w:val="yellow"/>
                        </w:rPr>
                        <w:t>Handover involving different SCS</w:t>
                      </w:r>
                      <w:r w:rsidRPr="00075F1D">
                        <w:rPr>
                          <w:rFonts w:ascii="Arial" w:hAnsi="Arial" w:cs="Arial"/>
                          <w:sz w:val="22"/>
                          <w:szCs w:val="22"/>
                        </w:rPr>
                        <w:t xml:space="preserve"> (as agreed in RAN4)</w:t>
                      </w:r>
                    </w:p>
                    <w:bookmarkEnd w:id="2"/>
                    <w:p w:rsidR="00D72603" w:rsidRDefault="00D72603"/>
                  </w:txbxContent>
                </v:textbox>
                <w10:wrap type="square"/>
              </v:shape>
            </w:pict>
          </mc:Fallback>
        </mc:AlternateContent>
      </w:r>
      <w:r>
        <w:rPr>
          <w:szCs w:val="22"/>
        </w:rPr>
        <w:t xml:space="preserve">For the </w:t>
      </w:r>
      <w:r w:rsidRPr="009F2EF2">
        <w:rPr>
          <w:b/>
          <w:szCs w:val="22"/>
        </w:rPr>
        <w:t>additional capabilities</w:t>
      </w:r>
      <w:r>
        <w:rPr>
          <w:szCs w:val="22"/>
        </w:rPr>
        <w:t xml:space="preserve"> which should be specified as assumed by RAN2 LS [1]:</w:t>
      </w:r>
    </w:p>
    <w:p w:rsidR="00D72603" w:rsidRDefault="00D72603" w:rsidP="00D569AD">
      <w:pPr>
        <w:jc w:val="both"/>
        <w:rPr>
          <w:szCs w:val="22"/>
        </w:rPr>
      </w:pPr>
    </w:p>
    <w:p w:rsidR="00F956B3" w:rsidRDefault="00E85B8A" w:rsidP="00D569AD">
      <w:pPr>
        <w:jc w:val="both"/>
        <w:rPr>
          <w:szCs w:val="22"/>
        </w:rPr>
      </w:pPr>
      <w:r w:rsidRPr="0046762B">
        <w:rPr>
          <w:noProof/>
          <w:szCs w:val="22"/>
        </w:rPr>
        <mc:AlternateContent>
          <mc:Choice Requires="wps">
            <w:drawing>
              <wp:anchor distT="45720" distB="45720" distL="114300" distR="114300" simplePos="0" relativeHeight="251665408" behindDoc="0" locked="0" layoutInCell="1" allowOverlap="1">
                <wp:simplePos x="0" y="0"/>
                <wp:positionH relativeFrom="margin">
                  <wp:align>left</wp:align>
                </wp:positionH>
                <wp:positionV relativeFrom="paragraph">
                  <wp:posOffset>292735</wp:posOffset>
                </wp:positionV>
                <wp:extent cx="6550660" cy="3159760"/>
                <wp:effectExtent l="0" t="0" r="21590" b="2159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0660" cy="3160206"/>
                        </a:xfrm>
                        <a:prstGeom prst="rect">
                          <a:avLst/>
                        </a:prstGeom>
                        <a:solidFill>
                          <a:srgbClr val="FFFFFF"/>
                        </a:solidFill>
                        <a:ln w="9525">
                          <a:solidFill>
                            <a:srgbClr val="000000"/>
                          </a:solidFill>
                          <a:miter lim="800000"/>
                          <a:headEnd/>
                          <a:tailEnd/>
                        </a:ln>
                      </wps:spPr>
                      <wps:txbx>
                        <w:txbxContent>
                          <w:p w:rsidR="009F2EF2" w:rsidRDefault="009F2EF2" w:rsidP="009F2EF2">
                            <w:pPr>
                              <w:numPr>
                                <w:ilvl w:val="0"/>
                                <w:numId w:val="27"/>
                              </w:numPr>
                              <w:overflowPunct w:val="0"/>
                              <w:autoSpaceDE w:val="0"/>
                              <w:autoSpaceDN w:val="0"/>
                              <w:adjustRightInd w:val="0"/>
                              <w:spacing w:after="180"/>
                              <w:textAlignment w:val="baseline"/>
                              <w:rPr>
                                <w:rFonts w:ascii="Arial" w:hAnsi="Arial" w:cs="Arial"/>
                              </w:rPr>
                            </w:pPr>
                            <w:r>
                              <w:rPr>
                                <w:rFonts w:ascii="Arial" w:hAnsi="Arial" w:cs="Arial"/>
                              </w:rPr>
                              <w:t>Capability for DAPS HO per combination of bands where simultaneous downlink connectivity with source and target cells are supported (LTE &amp; NR)</w:t>
                            </w:r>
                          </w:p>
                          <w:p w:rsidR="009F2EF2" w:rsidRDefault="009F2EF2" w:rsidP="009F2EF2">
                            <w:pPr>
                              <w:numPr>
                                <w:ilvl w:val="1"/>
                                <w:numId w:val="27"/>
                              </w:numPr>
                              <w:overflowPunct w:val="0"/>
                              <w:autoSpaceDE w:val="0"/>
                              <w:autoSpaceDN w:val="0"/>
                              <w:adjustRightInd w:val="0"/>
                              <w:spacing w:after="180"/>
                              <w:textAlignment w:val="baseline"/>
                              <w:rPr>
                                <w:rFonts w:ascii="Arial" w:hAnsi="Arial" w:cs="Arial"/>
                              </w:rPr>
                            </w:pPr>
                            <w:r>
                              <w:rPr>
                                <w:rFonts w:ascii="Arial" w:hAnsi="Arial" w:cs="Arial"/>
                              </w:rPr>
                              <w:t>Synchronous vs. asynchronous support for DAPS HO</w:t>
                            </w:r>
                          </w:p>
                          <w:p w:rsidR="009F2EF2" w:rsidRDefault="009F2EF2" w:rsidP="009F2EF2">
                            <w:pPr>
                              <w:numPr>
                                <w:ilvl w:val="1"/>
                                <w:numId w:val="27"/>
                              </w:numPr>
                              <w:overflowPunct w:val="0"/>
                              <w:autoSpaceDE w:val="0"/>
                              <w:autoSpaceDN w:val="0"/>
                              <w:adjustRightInd w:val="0"/>
                              <w:spacing w:after="180"/>
                              <w:textAlignment w:val="baseline"/>
                              <w:rPr>
                                <w:rFonts w:ascii="Arial" w:hAnsi="Arial" w:cs="Arial"/>
                              </w:rPr>
                            </w:pPr>
                            <w:r>
                              <w:rPr>
                                <w:rFonts w:ascii="Arial" w:hAnsi="Arial" w:cs="Arial"/>
                              </w:rPr>
                              <w:t xml:space="preserve">Support of simultaneous UL transmission to source and target cell per band combination </w:t>
                            </w:r>
                          </w:p>
                          <w:p w:rsidR="009F2EF2" w:rsidRDefault="009F2EF2" w:rsidP="009F2EF2">
                            <w:pPr>
                              <w:numPr>
                                <w:ilvl w:val="1"/>
                                <w:numId w:val="27"/>
                              </w:numPr>
                              <w:overflowPunct w:val="0"/>
                              <w:autoSpaceDE w:val="0"/>
                              <w:autoSpaceDN w:val="0"/>
                              <w:adjustRightInd w:val="0"/>
                              <w:spacing w:after="180"/>
                              <w:textAlignment w:val="baseline"/>
                              <w:rPr>
                                <w:rFonts w:ascii="Arial" w:hAnsi="Arial" w:cs="Arial"/>
                              </w:rPr>
                            </w:pPr>
                            <w:r>
                              <w:rPr>
                                <w:rFonts w:ascii="Arial" w:hAnsi="Arial" w:cs="Arial"/>
                              </w:rPr>
                              <w:t xml:space="preserve">Support of indication of intra-band (separate signalling for </w:t>
                            </w:r>
                            <w:r w:rsidRPr="009F2EF2">
                              <w:rPr>
                                <w:rFonts w:ascii="Arial" w:hAnsi="Arial" w:cs="Arial"/>
                                <w:highlight w:val="yellow"/>
                              </w:rPr>
                              <w:t>intra-frequency</w:t>
                            </w:r>
                            <w:r>
                              <w:rPr>
                                <w:rFonts w:ascii="Arial" w:hAnsi="Arial" w:cs="Arial"/>
                              </w:rPr>
                              <w:t xml:space="preserve"> and inter-frequency) HO </w:t>
                            </w:r>
                          </w:p>
                          <w:p w:rsidR="009F2EF2" w:rsidRPr="006C1127" w:rsidRDefault="009F2EF2" w:rsidP="009F2EF2">
                            <w:pPr>
                              <w:numPr>
                                <w:ilvl w:val="1"/>
                                <w:numId w:val="27"/>
                              </w:numPr>
                              <w:overflowPunct w:val="0"/>
                              <w:autoSpaceDE w:val="0"/>
                              <w:autoSpaceDN w:val="0"/>
                              <w:adjustRightInd w:val="0"/>
                              <w:spacing w:after="180"/>
                              <w:textAlignment w:val="baseline"/>
                              <w:rPr>
                                <w:rFonts w:ascii="Arial" w:hAnsi="Arial" w:cs="Arial"/>
                              </w:rPr>
                            </w:pPr>
                            <w:r>
                              <w:rPr>
                                <w:rFonts w:ascii="Arial" w:hAnsi="Arial" w:cs="Arial"/>
                              </w:rPr>
                              <w:t>Support of multi TAG (i.e., different TAG in source and target cells)</w:t>
                            </w:r>
                          </w:p>
                          <w:p w:rsidR="009F2EF2" w:rsidRPr="009F2EF2" w:rsidRDefault="009F2EF2" w:rsidP="009F2EF2">
                            <w:pPr>
                              <w:numPr>
                                <w:ilvl w:val="0"/>
                                <w:numId w:val="27"/>
                              </w:numPr>
                              <w:overflowPunct w:val="0"/>
                              <w:autoSpaceDE w:val="0"/>
                              <w:autoSpaceDN w:val="0"/>
                              <w:adjustRightInd w:val="0"/>
                              <w:spacing w:after="180"/>
                              <w:textAlignment w:val="baseline"/>
                              <w:rPr>
                                <w:rFonts w:ascii="Arial" w:hAnsi="Arial" w:cs="Arial"/>
                              </w:rPr>
                            </w:pPr>
                            <w:r>
                              <w:rPr>
                                <w:rFonts w:ascii="Arial" w:hAnsi="Arial" w:cs="Arial"/>
                              </w:rPr>
                              <w:t xml:space="preserve">Any </w:t>
                            </w:r>
                            <w:r w:rsidRPr="009F2EF2">
                              <w:rPr>
                                <w:rFonts w:ascii="Arial" w:hAnsi="Arial" w:cs="Arial"/>
                                <w:highlight w:val="yellow"/>
                              </w:rPr>
                              <w:t>baseband and RF capability</w:t>
                            </w:r>
                            <w:r>
                              <w:rPr>
                                <w:rFonts w:ascii="Arial" w:hAnsi="Arial" w:cs="Arial"/>
                              </w:rPr>
                              <w:t xml:space="preserve"> that is per CC, per band, per band combination, or per band of band combination which is currently used for the purpose of dual connectivity capabilities (LTE &amp; NR)</w:t>
                            </w:r>
                          </w:p>
                          <w:p w:rsidR="009F2EF2" w:rsidRDefault="009F2EF2" w:rsidP="009F2EF2">
                            <w:pPr>
                              <w:numPr>
                                <w:ilvl w:val="0"/>
                                <w:numId w:val="27"/>
                              </w:numPr>
                              <w:overflowPunct w:val="0"/>
                              <w:autoSpaceDE w:val="0"/>
                              <w:autoSpaceDN w:val="0"/>
                              <w:adjustRightInd w:val="0"/>
                              <w:spacing w:after="180"/>
                              <w:textAlignment w:val="baseline"/>
                              <w:rPr>
                                <w:rFonts w:ascii="Arial" w:hAnsi="Arial" w:cs="Arial"/>
                              </w:rPr>
                            </w:pPr>
                            <w:r>
                              <w:rPr>
                                <w:rFonts w:ascii="Arial" w:hAnsi="Arial" w:cs="Arial"/>
                              </w:rPr>
                              <w:t>Support of different SCS in source and target cells in intra-band (separate signalling for intra-frequency and inter-frequency) HO (NR only)</w:t>
                            </w:r>
                          </w:p>
                          <w:p w:rsidR="0046762B" w:rsidRDefault="0046762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0;margin-top:23.05pt;width:515.8pt;height:248.8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">
                <v:textbox>
                  <w:txbxContent>
                    <w:p w:rsidR="009F2EF2" w:rsidRDefault="009F2EF2" w:rsidP="009F2EF2">
                      <w:pPr>
                        <w:numPr>
                          <w:ilvl w:val="0"/>
                          <w:numId w:val="27"/>
                        </w:numPr>
                        <w:overflowPunct w:val="0"/>
                        <w:autoSpaceDE w:val="0"/>
                        <w:autoSpaceDN w:val="0"/>
                        <w:adjustRightInd w:val="0"/>
                        <w:spacing w:after="180"/>
                        <w:textAlignment w:val="baseline"/>
                        <w:rPr>
                          <w:rFonts w:ascii="Arial" w:hAnsi="Arial" w:cs="Arial"/>
                        </w:rPr>
                      </w:pPr>
                      <w:r>
                        <w:rPr>
                          <w:rFonts w:ascii="Arial" w:hAnsi="Arial" w:cs="Arial"/>
                        </w:rPr>
                        <w:t>Capability for DAPS HO per combination of bands where simultaneous downlink connectivity with source and target cells are supported (LTE &amp; NR)</w:t>
                      </w:r>
                    </w:p>
                    <w:p w:rsidR="009F2EF2" w:rsidRDefault="009F2EF2" w:rsidP="009F2EF2">
                      <w:pPr>
                        <w:numPr>
                          <w:ilvl w:val="1"/>
                          <w:numId w:val="27"/>
                        </w:numPr>
                        <w:overflowPunct w:val="0"/>
                        <w:autoSpaceDE w:val="0"/>
                        <w:autoSpaceDN w:val="0"/>
                        <w:adjustRightInd w:val="0"/>
                        <w:spacing w:after="180"/>
                        <w:textAlignment w:val="baseline"/>
                        <w:rPr>
                          <w:rFonts w:ascii="Arial" w:hAnsi="Arial" w:cs="Arial"/>
                        </w:rPr>
                      </w:pPr>
                      <w:r>
                        <w:rPr>
                          <w:rFonts w:ascii="Arial" w:hAnsi="Arial" w:cs="Arial"/>
                        </w:rPr>
                        <w:t>Synchronous vs. asynchronous support for DAPS HO</w:t>
                      </w:r>
                    </w:p>
                    <w:p w:rsidR="009F2EF2" w:rsidRDefault="009F2EF2" w:rsidP="009F2EF2">
                      <w:pPr>
                        <w:numPr>
                          <w:ilvl w:val="1"/>
                          <w:numId w:val="27"/>
                        </w:numPr>
                        <w:overflowPunct w:val="0"/>
                        <w:autoSpaceDE w:val="0"/>
                        <w:autoSpaceDN w:val="0"/>
                        <w:adjustRightInd w:val="0"/>
                        <w:spacing w:after="180"/>
                        <w:textAlignment w:val="baseline"/>
                        <w:rPr>
                          <w:rFonts w:ascii="Arial" w:hAnsi="Arial" w:cs="Arial"/>
                        </w:rPr>
                      </w:pPr>
                      <w:r>
                        <w:rPr>
                          <w:rFonts w:ascii="Arial" w:hAnsi="Arial" w:cs="Arial"/>
                        </w:rPr>
                        <w:t xml:space="preserve">Support of simultaneous UL transmission to source and target cell per band combination </w:t>
                      </w:r>
                    </w:p>
                    <w:p w:rsidR="009F2EF2" w:rsidRDefault="009F2EF2" w:rsidP="009F2EF2">
                      <w:pPr>
                        <w:numPr>
                          <w:ilvl w:val="1"/>
                          <w:numId w:val="27"/>
                        </w:numPr>
                        <w:overflowPunct w:val="0"/>
                        <w:autoSpaceDE w:val="0"/>
                        <w:autoSpaceDN w:val="0"/>
                        <w:adjustRightInd w:val="0"/>
                        <w:spacing w:after="180"/>
                        <w:textAlignment w:val="baseline"/>
                        <w:rPr>
                          <w:rFonts w:ascii="Arial" w:hAnsi="Arial" w:cs="Arial"/>
                        </w:rPr>
                      </w:pPr>
                      <w:r>
                        <w:rPr>
                          <w:rFonts w:ascii="Arial" w:hAnsi="Arial" w:cs="Arial"/>
                        </w:rPr>
                        <w:t xml:space="preserve">Support of indication of intra-band (separate signalling for </w:t>
                      </w:r>
                      <w:r w:rsidRPr="009F2EF2">
                        <w:rPr>
                          <w:rFonts w:ascii="Arial" w:hAnsi="Arial" w:cs="Arial"/>
                          <w:highlight w:val="yellow"/>
                        </w:rPr>
                        <w:t>intra-frequency</w:t>
                      </w:r>
                      <w:r>
                        <w:rPr>
                          <w:rFonts w:ascii="Arial" w:hAnsi="Arial" w:cs="Arial"/>
                        </w:rPr>
                        <w:t xml:space="preserve"> and inter-frequency) HO </w:t>
                      </w:r>
                    </w:p>
                    <w:p w:rsidR="009F2EF2" w:rsidRPr="006C1127" w:rsidRDefault="009F2EF2" w:rsidP="009F2EF2">
                      <w:pPr>
                        <w:numPr>
                          <w:ilvl w:val="1"/>
                          <w:numId w:val="27"/>
                        </w:numPr>
                        <w:overflowPunct w:val="0"/>
                        <w:autoSpaceDE w:val="0"/>
                        <w:autoSpaceDN w:val="0"/>
                        <w:adjustRightInd w:val="0"/>
                        <w:spacing w:after="180"/>
                        <w:textAlignment w:val="baseline"/>
                        <w:rPr>
                          <w:rFonts w:ascii="Arial" w:hAnsi="Arial" w:cs="Arial"/>
                        </w:rPr>
                      </w:pPr>
                      <w:r>
                        <w:rPr>
                          <w:rFonts w:ascii="Arial" w:hAnsi="Arial" w:cs="Arial"/>
                        </w:rPr>
                        <w:t>Support of multi TAG (i.e., different TAG in source and target cells)</w:t>
                      </w:r>
                    </w:p>
                    <w:p w:rsidR="009F2EF2" w:rsidRPr="009F2EF2" w:rsidRDefault="009F2EF2" w:rsidP="009F2EF2">
                      <w:pPr>
                        <w:numPr>
                          <w:ilvl w:val="0"/>
                          <w:numId w:val="27"/>
                        </w:numPr>
                        <w:overflowPunct w:val="0"/>
                        <w:autoSpaceDE w:val="0"/>
                        <w:autoSpaceDN w:val="0"/>
                        <w:adjustRightInd w:val="0"/>
                        <w:spacing w:after="180"/>
                        <w:textAlignment w:val="baseline"/>
                        <w:rPr>
                          <w:rFonts w:ascii="Arial" w:hAnsi="Arial" w:cs="Arial"/>
                        </w:rPr>
                      </w:pPr>
                      <w:r>
                        <w:rPr>
                          <w:rFonts w:ascii="Arial" w:hAnsi="Arial" w:cs="Arial"/>
                        </w:rPr>
                        <w:t xml:space="preserve">Any </w:t>
                      </w:r>
                      <w:r w:rsidRPr="009F2EF2">
                        <w:rPr>
                          <w:rFonts w:ascii="Arial" w:hAnsi="Arial" w:cs="Arial"/>
                          <w:highlight w:val="yellow"/>
                        </w:rPr>
                        <w:t>baseband and RF capability</w:t>
                      </w:r>
                      <w:r>
                        <w:rPr>
                          <w:rFonts w:ascii="Arial" w:hAnsi="Arial" w:cs="Arial"/>
                        </w:rPr>
                        <w:t xml:space="preserve"> that is per CC, per band, per band combination, or per band of band combination which is currently used for the purpose of dual connectivity capabilities </w:t>
                      </w:r>
                      <w:r>
                        <w:rPr>
                          <w:rFonts w:ascii="Arial" w:hAnsi="Arial" w:cs="Arial"/>
                        </w:rPr>
                        <w:t>(LTE &amp; NR)</w:t>
                      </w:r>
                    </w:p>
                    <w:p w:rsidR="009F2EF2" w:rsidRDefault="009F2EF2" w:rsidP="009F2EF2">
                      <w:pPr>
                        <w:numPr>
                          <w:ilvl w:val="0"/>
                          <w:numId w:val="27"/>
                        </w:numPr>
                        <w:overflowPunct w:val="0"/>
                        <w:autoSpaceDE w:val="0"/>
                        <w:autoSpaceDN w:val="0"/>
                        <w:adjustRightInd w:val="0"/>
                        <w:spacing w:after="180"/>
                        <w:textAlignment w:val="baseline"/>
                        <w:rPr>
                          <w:rFonts w:ascii="Arial" w:hAnsi="Arial" w:cs="Arial"/>
                        </w:rPr>
                      </w:pPr>
                      <w:r>
                        <w:rPr>
                          <w:rFonts w:ascii="Arial" w:hAnsi="Arial" w:cs="Arial"/>
                        </w:rPr>
                        <w:t>Support of different SCS in source and target cells in intra-band (separate signalling for intra-frequency and inter-frequency) HO (NR only)</w:t>
                      </w:r>
                    </w:p>
                    <w:p w:rsidR="0046762B" w:rsidRDefault="0046762B"/>
                  </w:txbxContent>
                </v:textbox>
                <w10:wrap type="square" anchorx="margin"/>
              </v:shape>
            </w:pict>
          </mc:Fallback>
        </mc:AlternateContent>
      </w:r>
      <w:r w:rsidR="00F956B3">
        <w:rPr>
          <w:szCs w:val="22"/>
        </w:rPr>
        <w:t>and the RAN4 reply LS [</w:t>
      </w:r>
      <w:r w:rsidR="00BF3402">
        <w:rPr>
          <w:szCs w:val="22"/>
        </w:rPr>
        <w:t>4</w:t>
      </w:r>
      <w:r w:rsidR="00F956B3">
        <w:rPr>
          <w:szCs w:val="22"/>
        </w:rPr>
        <w:t xml:space="preserve">], </w:t>
      </w:r>
    </w:p>
    <w:p w:rsidR="0046762B" w:rsidRDefault="0046762B" w:rsidP="00D72603">
      <w:pPr>
        <w:rPr>
          <w:szCs w:val="22"/>
        </w:rPr>
      </w:pPr>
    </w:p>
    <w:p w:rsidR="00FD4BD3" w:rsidRDefault="009205AC" w:rsidP="00D72603">
      <w:pPr>
        <w:rPr>
          <w:szCs w:val="22"/>
        </w:rPr>
      </w:pPr>
      <w:r w:rsidRPr="009205AC">
        <w:rPr>
          <w:noProof/>
          <w:szCs w:val="22"/>
        </w:rPr>
        <mc:AlternateContent>
          <mc:Choice Requires="wps">
            <w:drawing>
              <wp:anchor distT="45720" distB="45720" distL="114300" distR="114300" simplePos="0" relativeHeight="251671552" behindDoc="0" locked="0" layoutInCell="1" allowOverlap="1">
                <wp:simplePos x="0" y="0"/>
                <wp:positionH relativeFrom="margin">
                  <wp:posOffset>-635</wp:posOffset>
                </wp:positionH>
                <wp:positionV relativeFrom="paragraph">
                  <wp:posOffset>355600</wp:posOffset>
                </wp:positionV>
                <wp:extent cx="6556375" cy="1404620"/>
                <wp:effectExtent l="0" t="0" r="15875" b="254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6375" cy="1404620"/>
                        </a:xfrm>
                        <a:prstGeom prst="rect">
                          <a:avLst/>
                        </a:prstGeom>
                        <a:solidFill>
                          <a:srgbClr val="FFFFFF"/>
                        </a:solidFill>
                        <a:ln w="9525">
                          <a:solidFill>
                            <a:srgbClr val="000000"/>
                          </a:solidFill>
                          <a:miter lim="800000"/>
                          <a:headEnd/>
                          <a:tailEnd/>
                        </a:ln>
                      </wps:spPr>
                      <wps:txbx>
                        <w:txbxContent>
                          <w:p w:rsidR="009205AC" w:rsidRPr="00A22312" w:rsidRDefault="009205AC" w:rsidP="009205AC">
                            <w:pPr>
                              <w:rPr>
                                <w:b/>
                                <w:u w:val="single"/>
                                <w:lang w:eastAsia="x-none"/>
                              </w:rPr>
                            </w:pPr>
                            <w:r w:rsidRPr="00A23594">
                              <w:rPr>
                                <w:b/>
                                <w:highlight w:val="green"/>
                                <w:u w:val="single"/>
                                <w:lang w:eastAsia="x-none"/>
                              </w:rPr>
                              <w:t>Agreement:</w:t>
                            </w:r>
                          </w:p>
                          <w:p w:rsidR="009205AC" w:rsidRDefault="009205AC" w:rsidP="009205AC">
                            <w:pPr>
                              <w:pStyle w:val="a4"/>
                              <w:numPr>
                                <w:ilvl w:val="0"/>
                                <w:numId w:val="31"/>
                              </w:numPr>
                            </w:pPr>
                            <w:r w:rsidRPr="009205AC">
                              <w:rPr>
                                <w:bCs/>
                                <w:iCs/>
                              </w:rPr>
                              <w:t xml:space="preserve">FFS: Whether, a UE that indicates DAPS-HO capability is capable of </w:t>
                            </w:r>
                            <w:r w:rsidRPr="009205AC">
                              <w:rPr>
                                <w:b/>
                                <w:bCs/>
                                <w:iCs/>
                              </w:rPr>
                              <w:t>simultaneously receiving PDCCH/PDSCH from source and target cells when the resources for PDCCH/PDSCH from the two cells overlap in frequency and time</w:t>
                            </w:r>
                            <w:r w:rsidRPr="009205AC">
                              <w:rPr>
                                <w:bCs/>
                                <w:i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3" type="#_x0000_t202" style="position:absolute;margin-left:-.05pt;margin-top:28pt;width:516.2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">
                <v:textbox style="mso-fit-shape-to-text:t">
                  <w:txbxContent>
                    <w:p w:rsidR="009205AC" w:rsidRPr="00A22312" w:rsidRDefault="009205AC" w:rsidP="009205AC">
                      <w:pPr>
                        <w:rPr>
                          <w:b/>
                          <w:u w:val="single"/>
                          <w:lang w:eastAsia="x-none"/>
                        </w:rPr>
                      </w:pPr>
                      <w:r w:rsidRPr="00A23594">
                        <w:rPr>
                          <w:b/>
                          <w:highlight w:val="green"/>
                          <w:u w:val="single"/>
                          <w:lang w:eastAsia="x-none"/>
                        </w:rPr>
                        <w:t>Agreement:</w:t>
                      </w:r>
                    </w:p>
                    <w:p w:rsidR="009205AC" w:rsidRDefault="009205AC" w:rsidP="009205AC">
                      <w:pPr>
                        <w:pStyle w:val="a4"/>
                        <w:numPr>
                          <w:ilvl w:val="0"/>
                          <w:numId w:val="31"/>
                        </w:numPr>
                      </w:pPr>
                      <w:r w:rsidRPr="009205AC">
                        <w:rPr>
                          <w:bCs/>
                          <w:iCs/>
                        </w:rPr>
                        <w:t xml:space="preserve">FFS: Whether, a UE that indicates DAPS-HO capability is capable of </w:t>
                      </w:r>
                      <w:r w:rsidRPr="009205AC">
                        <w:rPr>
                          <w:b/>
                          <w:bCs/>
                          <w:iCs/>
                        </w:rPr>
                        <w:t>simultaneously receiving PDCCH/PDSCH from source and target cells when the resources for PDCCH/PDSCH from the two cells overlap in frequency and time</w:t>
                      </w:r>
                      <w:r w:rsidRPr="009205AC">
                        <w:rPr>
                          <w:bCs/>
                          <w:iCs/>
                        </w:rPr>
                        <w:t>.</w:t>
                      </w:r>
                    </w:p>
                  </w:txbxContent>
                </v:textbox>
                <w10:wrap type="square" anchorx="margin"/>
              </v:shape>
            </w:pict>
          </mc:Fallback>
        </mc:AlternateContent>
      </w:r>
      <w:r w:rsidR="00FD4BD3">
        <w:rPr>
          <w:szCs w:val="22"/>
        </w:rPr>
        <w:t>and RAN1 #99  agreement</w:t>
      </w:r>
      <w:r>
        <w:rPr>
          <w:szCs w:val="22"/>
        </w:rPr>
        <w:t>s</w:t>
      </w:r>
      <w:r w:rsidR="00FD4BD3">
        <w:rPr>
          <w:szCs w:val="22"/>
        </w:rPr>
        <w:t xml:space="preserve"> [</w:t>
      </w:r>
      <w:r w:rsidR="00DD2BE4">
        <w:rPr>
          <w:szCs w:val="22"/>
        </w:rPr>
        <w:t>2</w:t>
      </w:r>
      <w:r w:rsidR="00FD4BD3">
        <w:rPr>
          <w:szCs w:val="22"/>
        </w:rPr>
        <w:t>]:</w:t>
      </w:r>
    </w:p>
    <w:p w:rsidR="009205AC" w:rsidRDefault="009205AC" w:rsidP="00D72603">
      <w:pPr>
        <w:rPr>
          <w:szCs w:val="22"/>
        </w:rPr>
      </w:pPr>
    </w:p>
    <w:p w:rsidR="00D72603" w:rsidRPr="00B37FD0" w:rsidRDefault="00B37FD0" w:rsidP="00D72603">
      <w:pPr>
        <w:rPr>
          <w:b/>
          <w:szCs w:val="22"/>
        </w:rPr>
      </w:pPr>
      <w:r>
        <w:rPr>
          <w:szCs w:val="22"/>
        </w:rPr>
        <w:t xml:space="preserve">and the additional </w:t>
      </w:r>
      <w:r w:rsidRPr="00B37FD0">
        <w:rPr>
          <w:szCs w:val="22"/>
        </w:rPr>
        <w:t>physical layer DAPS related capabilities</w:t>
      </w:r>
      <w:r>
        <w:rPr>
          <w:szCs w:val="22"/>
        </w:rPr>
        <w:t xml:space="preserve"> as mentioned in </w:t>
      </w:r>
      <w:r w:rsidRPr="00B37FD0">
        <w:rPr>
          <w:b/>
          <w:szCs w:val="22"/>
        </w:rPr>
        <w:t>Sec 2.1</w:t>
      </w:r>
      <w:r w:rsidRPr="00B37FD0">
        <w:rPr>
          <w:szCs w:val="22"/>
        </w:rPr>
        <w:t xml:space="preserve">, </w:t>
      </w:r>
      <w:r>
        <w:rPr>
          <w:szCs w:val="22"/>
        </w:rPr>
        <w:t>t</w:t>
      </w:r>
      <w:r w:rsidR="00D72603">
        <w:rPr>
          <w:szCs w:val="22"/>
        </w:rPr>
        <w:t xml:space="preserve">hey can be included in the </w:t>
      </w:r>
      <w:r w:rsidR="00D72603" w:rsidRPr="00D72603">
        <w:rPr>
          <w:rFonts w:hint="eastAsia"/>
          <w:b/>
          <w:szCs w:val="22"/>
          <w:u w:val="single"/>
        </w:rPr>
        <w:t>Others</w:t>
      </w:r>
      <w:r w:rsidR="00D72603" w:rsidRPr="00D72603">
        <w:rPr>
          <w:rFonts w:hint="eastAsia"/>
          <w:szCs w:val="22"/>
        </w:rPr>
        <w:t xml:space="preserve"> part </w:t>
      </w:r>
      <w:r w:rsidR="00D72603">
        <w:rPr>
          <w:szCs w:val="22"/>
        </w:rPr>
        <w:t xml:space="preserve">of the capability </w:t>
      </w:r>
      <w:r w:rsidR="00D72603" w:rsidRPr="00DA5237">
        <w:rPr>
          <w:i/>
          <w:highlight w:val="cyan"/>
        </w:rPr>
        <w:t>DAPS-Parameters</w:t>
      </w:r>
      <w:r w:rsidR="00D72603">
        <w:rPr>
          <w:szCs w:val="22"/>
        </w:rPr>
        <w:t>.</w:t>
      </w:r>
    </w:p>
    <w:p w:rsidR="00D72603" w:rsidRDefault="00D72603" w:rsidP="00D569AD">
      <w:pPr>
        <w:jc w:val="both"/>
        <w:rPr>
          <w:szCs w:val="22"/>
        </w:rPr>
      </w:pPr>
    </w:p>
    <w:p w:rsidR="00D72603" w:rsidRDefault="00D72603" w:rsidP="00D569AD">
      <w:pPr>
        <w:jc w:val="both"/>
        <w:rPr>
          <w:szCs w:val="22"/>
        </w:rPr>
      </w:pPr>
    </w:p>
    <w:p w:rsidR="00A85639" w:rsidRPr="002D4CDD" w:rsidRDefault="00BF3402" w:rsidP="009F2EF2">
      <w:pPr>
        <w:rPr>
          <w:b/>
          <w:u w:val="single"/>
        </w:rPr>
      </w:pPr>
      <w:r>
        <w:rPr>
          <w:b/>
          <w:u w:val="single"/>
        </w:rPr>
        <w:t>Proposal 3</w:t>
      </w:r>
      <w:r w:rsidR="00D569AD" w:rsidRPr="00D569AD">
        <w:rPr>
          <w:b/>
          <w:u w:val="single"/>
        </w:rPr>
        <w:t xml:space="preserve">: </w:t>
      </w:r>
      <w:r w:rsidR="009F2EF2" w:rsidRPr="009F2EF2">
        <w:rPr>
          <w:b/>
          <w:u w:val="single"/>
        </w:rPr>
        <w:t xml:space="preserve">DAPS-HO capability is reported per band combination by </w:t>
      </w:r>
      <w:r w:rsidR="009F2EF2" w:rsidRPr="00DA5237">
        <w:rPr>
          <w:b/>
          <w:i/>
          <w:highlight w:val="cyan"/>
          <w:u w:val="single"/>
        </w:rPr>
        <w:t>DAPS-Parameters</w:t>
      </w:r>
      <w:r w:rsidR="009F2EF2">
        <w:rPr>
          <w:b/>
          <w:u w:val="single"/>
        </w:rPr>
        <w:t xml:space="preserve"> </w:t>
      </w:r>
      <w:r w:rsidR="00DA5237">
        <w:rPr>
          <w:b/>
          <w:u w:val="single"/>
        </w:rPr>
        <w:t xml:space="preserve">under </w:t>
      </w:r>
      <w:r w:rsidR="00DA5237" w:rsidRPr="00DA5237">
        <w:rPr>
          <w:b/>
          <w:i/>
          <w:highlight w:val="yellow"/>
          <w:u w:val="single"/>
        </w:rPr>
        <w:t>BandCombination</w:t>
      </w:r>
      <w:r w:rsidR="00DA5237" w:rsidRPr="00DA5237">
        <w:rPr>
          <w:b/>
          <w:sz w:val="22"/>
          <w:szCs w:val="22"/>
          <w:u w:val="single"/>
        </w:rPr>
        <w:t xml:space="preserve"> </w:t>
      </w:r>
      <w:r w:rsidR="009F2EF2">
        <w:rPr>
          <w:b/>
          <w:u w:val="single"/>
        </w:rPr>
        <w:t xml:space="preserve">with structure similar to </w:t>
      </w:r>
      <w:r w:rsidR="009F2EF2" w:rsidRPr="009F2EF2">
        <w:rPr>
          <w:b/>
          <w:u w:val="single"/>
        </w:rPr>
        <w:t>NR-DC/CA capability</w:t>
      </w:r>
      <w:r w:rsidR="009F2EF2">
        <w:rPr>
          <w:b/>
          <w:u w:val="single"/>
        </w:rPr>
        <w:t xml:space="preserve"> report</w:t>
      </w:r>
      <w:r w:rsidR="00A85639">
        <w:rPr>
          <w:b/>
          <w:u w:val="single"/>
        </w:rPr>
        <w:t xml:space="preserve"> and include all </w:t>
      </w:r>
      <w:r w:rsidR="009F2EF2">
        <w:rPr>
          <w:b/>
          <w:u w:val="single"/>
        </w:rPr>
        <w:t>RAN 1/2/4</w:t>
      </w:r>
      <w:r w:rsidR="00A85639">
        <w:rPr>
          <w:b/>
          <w:u w:val="single"/>
        </w:rPr>
        <w:t xml:space="preserve"> DAPS</w:t>
      </w:r>
      <w:r w:rsidR="009F2EF2">
        <w:rPr>
          <w:b/>
          <w:u w:val="single"/>
        </w:rPr>
        <w:t xml:space="preserve"> </w:t>
      </w:r>
      <w:r w:rsidR="00A85639">
        <w:rPr>
          <w:b/>
          <w:u w:val="single"/>
        </w:rPr>
        <w:t xml:space="preserve">related </w:t>
      </w:r>
      <w:r w:rsidR="009F2EF2">
        <w:rPr>
          <w:b/>
          <w:u w:val="single"/>
        </w:rPr>
        <w:t>capabilities</w:t>
      </w:r>
      <w:r w:rsidR="00A85639">
        <w:rPr>
          <w:b/>
          <w:u w:val="single"/>
        </w:rPr>
        <w:t>. RAN1 should send a reply LS</w:t>
      </w:r>
      <w:r w:rsidR="00AC213F">
        <w:rPr>
          <w:b/>
          <w:u w:val="single"/>
        </w:rPr>
        <w:t xml:space="preserve"> to RAN2</w:t>
      </w:r>
      <w:r w:rsidR="00A85639">
        <w:rPr>
          <w:b/>
          <w:u w:val="single"/>
        </w:rPr>
        <w:t xml:space="preserve"> to help RAN2 collect these</w:t>
      </w:r>
      <w:r w:rsidR="00A85639" w:rsidRPr="00A85639">
        <w:rPr>
          <w:b/>
          <w:u w:val="single"/>
        </w:rPr>
        <w:t xml:space="preserve"> </w:t>
      </w:r>
      <w:r w:rsidR="00A85639">
        <w:rPr>
          <w:b/>
          <w:u w:val="single"/>
        </w:rPr>
        <w:t>DAPS related capabilities.</w:t>
      </w:r>
      <w:r w:rsidR="002D4CDD" w:rsidRPr="002D4CDD">
        <w:rPr>
          <w:rFonts w:hint="eastAsia"/>
          <w:b/>
          <w:u w:val="single"/>
        </w:rPr>
        <w:t xml:space="preserve"> The </w:t>
      </w:r>
      <w:r w:rsidR="002D4CDD" w:rsidRPr="002D4CDD">
        <w:rPr>
          <w:b/>
          <w:u w:val="single"/>
        </w:rPr>
        <w:t>DAPS capability</w:t>
      </w:r>
      <w:r w:rsidR="002D4CDD" w:rsidRPr="002D4CDD">
        <w:rPr>
          <w:rFonts w:hint="eastAsia"/>
          <w:b/>
          <w:u w:val="single"/>
        </w:rPr>
        <w:t xml:space="preserve"> </w:t>
      </w:r>
      <w:r w:rsidR="002D4CDD" w:rsidRPr="002D4CDD">
        <w:rPr>
          <w:b/>
          <w:u w:val="single"/>
        </w:rPr>
        <w:t>structure should be designed by RAN2.</w:t>
      </w:r>
    </w:p>
    <w:p w:rsidR="00E72546" w:rsidRPr="00B37FD0" w:rsidRDefault="00E72546" w:rsidP="00E22206">
      <w:pPr>
        <w:rPr>
          <w:b/>
          <w:u w:val="single"/>
        </w:rPr>
      </w:pPr>
    </w:p>
    <w:p w:rsidR="00BB61FF" w:rsidRPr="009F29FB" w:rsidRDefault="00460C54" w:rsidP="00BB61FF">
      <w:pPr>
        <w:pStyle w:val="1"/>
        <w:rPr>
          <w:rFonts w:cs="Arial"/>
          <w:color w:val="000000" w:themeColor="text1"/>
        </w:rPr>
      </w:pPr>
      <w:r>
        <w:rPr>
          <w:rFonts w:eastAsia="新細明體" w:cs="Arial"/>
          <w:color w:val="000000" w:themeColor="text1"/>
          <w:lang w:eastAsia="zh-TW"/>
        </w:rPr>
        <w:t>3</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640AE1" w:rsidRDefault="00F47B95" w:rsidP="00BB61FF">
      <w:r>
        <w:t>In this contribution</w:t>
      </w:r>
      <w:r w:rsidR="00BB61FF">
        <w:t xml:space="preserve">, </w:t>
      </w:r>
      <w:r w:rsidR="00FE66E5">
        <w:t xml:space="preserve">we focus </w:t>
      </w:r>
      <w:r w:rsidR="00E41ACC">
        <w:t>on the reply to RAN2 LS [1] and remaining details DAPS HO for Rel-16 mobility enhancement:</w:t>
      </w:r>
    </w:p>
    <w:p w:rsidR="00DA5237" w:rsidRPr="006943F4" w:rsidRDefault="00DA5237" w:rsidP="00DA5237">
      <w:pPr>
        <w:rPr>
          <w:b/>
          <w:u w:val="single"/>
        </w:rPr>
      </w:pPr>
    </w:p>
    <w:p w:rsidR="00DA5237" w:rsidRPr="00E543C7" w:rsidRDefault="00BF3402" w:rsidP="00DA5237">
      <w:pPr>
        <w:rPr>
          <w:b/>
          <w:u w:val="single"/>
        </w:rPr>
      </w:pPr>
      <w:r>
        <w:rPr>
          <w:b/>
          <w:u w:val="single"/>
        </w:rPr>
        <w:t>Proposal 1</w:t>
      </w:r>
      <w:r w:rsidR="00DA5237" w:rsidRPr="006943F4">
        <w:rPr>
          <w:b/>
          <w:u w:val="single"/>
        </w:rPr>
        <w:t xml:space="preserve">: </w:t>
      </w:r>
      <w:r w:rsidR="00DA5237">
        <w:rPr>
          <w:b/>
          <w:u w:val="single"/>
        </w:rPr>
        <w:t>UE to report supported number of UL TX path (</w:t>
      </w:r>
      <w:r w:rsidR="00DA5237" w:rsidRPr="00E543C7">
        <w:rPr>
          <w:b/>
          <w:u w:val="single"/>
        </w:rPr>
        <w:t>layers across different CC</w:t>
      </w:r>
      <w:r w:rsidR="00DA5237">
        <w:rPr>
          <w:b/>
          <w:u w:val="single"/>
        </w:rPr>
        <w:t xml:space="preserve">). </w:t>
      </w:r>
      <w:r w:rsidR="00DA5237" w:rsidRPr="00E543C7">
        <w:rPr>
          <w:b/>
          <w:u w:val="single"/>
        </w:rPr>
        <w:t>NW configuration</w:t>
      </w:r>
      <w:r w:rsidR="00DA5237">
        <w:rPr>
          <w:b/>
          <w:u w:val="single"/>
        </w:rPr>
        <w:t xml:space="preserve"> of TX layers</w:t>
      </w:r>
      <w:r w:rsidR="00DA5237" w:rsidRPr="00E543C7">
        <w:rPr>
          <w:b/>
          <w:u w:val="single"/>
        </w:rPr>
        <w:t xml:space="preserve"> for source and target cell should not exceed </w:t>
      </w:r>
      <w:r w:rsidR="00DA5237">
        <w:rPr>
          <w:b/>
          <w:u w:val="single"/>
        </w:rPr>
        <w:t xml:space="preserve">the reported </w:t>
      </w:r>
      <w:r w:rsidR="00DA5237" w:rsidRPr="00E543C7">
        <w:rPr>
          <w:b/>
          <w:u w:val="single"/>
        </w:rPr>
        <w:t>UE capability.</w:t>
      </w:r>
    </w:p>
    <w:p w:rsidR="00DA5237" w:rsidRDefault="00DA5237" w:rsidP="00BB61FF"/>
    <w:p w:rsidR="00E41ACC" w:rsidRDefault="00E41ACC" w:rsidP="00BB61FF"/>
    <w:p w:rsidR="00DA5237" w:rsidRDefault="00BF3402" w:rsidP="00DA5237">
      <w:pPr>
        <w:rPr>
          <w:b/>
          <w:u w:val="single"/>
        </w:rPr>
      </w:pPr>
      <w:r>
        <w:rPr>
          <w:b/>
          <w:u w:val="single"/>
        </w:rPr>
        <w:t>Proposal 2</w:t>
      </w:r>
      <w:r w:rsidR="00DA5237" w:rsidRPr="006943F4">
        <w:rPr>
          <w:b/>
          <w:u w:val="single"/>
        </w:rPr>
        <w:t xml:space="preserve">: </w:t>
      </w:r>
      <w:r w:rsidR="00DA5237">
        <w:rPr>
          <w:b/>
          <w:u w:val="single"/>
        </w:rPr>
        <w:t xml:space="preserve">Considering </w:t>
      </w:r>
      <w:r w:rsidR="00DA5237" w:rsidRPr="00B37FD0">
        <w:rPr>
          <w:rFonts w:hint="eastAsia"/>
          <w:b/>
          <w:u w:val="single"/>
        </w:rPr>
        <w:t xml:space="preserve">DAPS HO in FR2, </w:t>
      </w:r>
      <w:r w:rsidR="00DA5237">
        <w:rPr>
          <w:b/>
          <w:u w:val="single"/>
        </w:rPr>
        <w:t xml:space="preserve">UE should report the capability of </w:t>
      </w:r>
    </w:p>
    <w:p w:rsidR="00DA5237" w:rsidRDefault="00DA5237" w:rsidP="00DA5237">
      <w:pPr>
        <w:rPr>
          <w:b/>
          <w:u w:val="single"/>
          <w:lang w:eastAsia="x-none"/>
        </w:rPr>
      </w:pPr>
    </w:p>
    <w:p w:rsidR="00DA5237" w:rsidRPr="00B37FD0" w:rsidRDefault="00DA5237" w:rsidP="00DA5237">
      <w:pPr>
        <w:pStyle w:val="ae"/>
        <w:numPr>
          <w:ilvl w:val="0"/>
          <w:numId w:val="36"/>
        </w:numPr>
        <w:tabs>
          <w:tab w:val="left" w:pos="426"/>
          <w:tab w:val="left" w:pos="4678"/>
          <w:tab w:val="left" w:pos="5954"/>
          <w:tab w:val="left" w:pos="7088"/>
        </w:tabs>
        <w:rPr>
          <w:rFonts w:ascii="Arial" w:hAnsi="Arial" w:cs="Arial"/>
          <w:b/>
          <w:u w:val="single"/>
          <w:lang w:eastAsia="zh-CN"/>
        </w:rPr>
      </w:pPr>
      <w:r w:rsidRPr="00B37FD0">
        <w:rPr>
          <w:rFonts w:ascii="Arial" w:hAnsi="Arial" w:cs="Arial"/>
          <w:b/>
          <w:u w:val="single"/>
          <w:lang w:eastAsia="zh-CN"/>
        </w:rPr>
        <w:lastRenderedPageBreak/>
        <w:t>Whether UE can support multiple active TCI states for PDSCH and PDCCH.</w:t>
      </w:r>
    </w:p>
    <w:p w:rsidR="00DA5237" w:rsidRPr="00B37FD0" w:rsidRDefault="00DA5237" w:rsidP="00DA5237">
      <w:pPr>
        <w:pStyle w:val="ae"/>
        <w:numPr>
          <w:ilvl w:val="0"/>
          <w:numId w:val="36"/>
        </w:numPr>
        <w:tabs>
          <w:tab w:val="left" w:pos="426"/>
          <w:tab w:val="left" w:pos="4678"/>
          <w:tab w:val="left" w:pos="5954"/>
          <w:tab w:val="left" w:pos="7088"/>
        </w:tabs>
        <w:rPr>
          <w:rFonts w:ascii="Arial" w:hAnsi="Arial" w:cs="Arial"/>
          <w:b/>
          <w:u w:val="single"/>
          <w:lang w:eastAsia="zh-CN"/>
        </w:rPr>
      </w:pPr>
      <w:r w:rsidRPr="00B37FD0">
        <w:rPr>
          <w:rFonts w:ascii="Arial" w:hAnsi="Arial" w:cs="Arial"/>
          <w:b/>
          <w:u w:val="single"/>
          <w:lang w:eastAsia="zh-CN"/>
        </w:rPr>
        <w:t>Whether UE can support multiple active spatial relation info for PUSCH and PUCCH.</w:t>
      </w:r>
    </w:p>
    <w:p w:rsidR="00460C54" w:rsidRDefault="00460C54" w:rsidP="00BB61FF"/>
    <w:p w:rsidR="002D4CDD" w:rsidRPr="002D4CDD" w:rsidRDefault="00BF3402" w:rsidP="002D4CDD">
      <w:pPr>
        <w:rPr>
          <w:b/>
          <w:u w:val="single"/>
        </w:rPr>
      </w:pPr>
      <w:r>
        <w:rPr>
          <w:b/>
          <w:u w:val="single"/>
        </w:rPr>
        <w:t>Proposal 3</w:t>
      </w:r>
      <w:r w:rsidR="002D4CDD" w:rsidRPr="00D569AD">
        <w:rPr>
          <w:b/>
          <w:u w:val="single"/>
        </w:rPr>
        <w:t xml:space="preserve">: </w:t>
      </w:r>
      <w:r w:rsidR="002D4CDD" w:rsidRPr="009F2EF2">
        <w:rPr>
          <w:b/>
          <w:u w:val="single"/>
        </w:rPr>
        <w:t xml:space="preserve">DAPS-HO capability is reported per band combination by </w:t>
      </w:r>
      <w:r w:rsidR="002D4CDD" w:rsidRPr="00DA5237">
        <w:rPr>
          <w:b/>
          <w:i/>
          <w:highlight w:val="cyan"/>
          <w:u w:val="single"/>
        </w:rPr>
        <w:t>DAPS-Parameters</w:t>
      </w:r>
      <w:r w:rsidR="002D4CDD">
        <w:rPr>
          <w:b/>
          <w:u w:val="single"/>
        </w:rPr>
        <w:t xml:space="preserve"> under </w:t>
      </w:r>
      <w:r w:rsidR="002D4CDD" w:rsidRPr="00DA5237">
        <w:rPr>
          <w:b/>
          <w:i/>
          <w:highlight w:val="yellow"/>
          <w:u w:val="single"/>
        </w:rPr>
        <w:t>BandCombination</w:t>
      </w:r>
      <w:r w:rsidR="002D4CDD" w:rsidRPr="00DA5237">
        <w:rPr>
          <w:b/>
          <w:sz w:val="22"/>
          <w:szCs w:val="22"/>
          <w:u w:val="single"/>
        </w:rPr>
        <w:t xml:space="preserve"> </w:t>
      </w:r>
      <w:r w:rsidR="002D4CDD">
        <w:rPr>
          <w:b/>
          <w:u w:val="single"/>
        </w:rPr>
        <w:t xml:space="preserve">with structure similar to </w:t>
      </w:r>
      <w:r w:rsidR="002D4CDD" w:rsidRPr="009F2EF2">
        <w:rPr>
          <w:b/>
          <w:u w:val="single"/>
        </w:rPr>
        <w:t>NR-DC/CA capability</w:t>
      </w:r>
      <w:r w:rsidR="002D4CDD">
        <w:rPr>
          <w:b/>
          <w:u w:val="single"/>
        </w:rPr>
        <w:t xml:space="preserve"> report and include all RAN 1/2/4 DAPS related capabilities. RAN1 should send a reply LS to RAN2 to help RAN2 collect these</w:t>
      </w:r>
      <w:r w:rsidR="002D4CDD" w:rsidRPr="00A85639">
        <w:rPr>
          <w:b/>
          <w:u w:val="single"/>
        </w:rPr>
        <w:t xml:space="preserve"> </w:t>
      </w:r>
      <w:r w:rsidR="002D4CDD">
        <w:rPr>
          <w:b/>
          <w:u w:val="single"/>
        </w:rPr>
        <w:t>DAPS related capabilities.</w:t>
      </w:r>
      <w:r w:rsidR="002D4CDD" w:rsidRPr="002D4CDD">
        <w:rPr>
          <w:rFonts w:hint="eastAsia"/>
          <w:b/>
          <w:u w:val="single"/>
        </w:rPr>
        <w:t xml:space="preserve"> The </w:t>
      </w:r>
      <w:r w:rsidR="002D4CDD" w:rsidRPr="002D4CDD">
        <w:rPr>
          <w:b/>
          <w:u w:val="single"/>
        </w:rPr>
        <w:t>DAPS capability</w:t>
      </w:r>
      <w:r w:rsidR="002D4CDD" w:rsidRPr="002D4CDD">
        <w:rPr>
          <w:rFonts w:hint="eastAsia"/>
          <w:b/>
          <w:u w:val="single"/>
        </w:rPr>
        <w:t xml:space="preserve"> </w:t>
      </w:r>
      <w:r w:rsidR="002D4CDD" w:rsidRPr="002D4CDD">
        <w:rPr>
          <w:b/>
          <w:u w:val="single"/>
        </w:rPr>
        <w:t>structure should be designed by RAN2.</w:t>
      </w:r>
    </w:p>
    <w:p w:rsidR="00DA5237" w:rsidRDefault="00DA5237" w:rsidP="00BB61FF"/>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075F1D" w:rsidRPr="0086002C" w:rsidRDefault="00075F1D" w:rsidP="006C1ACD">
      <w:pPr>
        <w:pStyle w:val="References"/>
        <w:rPr>
          <w:lang w:val="en-GB"/>
        </w:rPr>
      </w:pPr>
      <w:bookmarkStart w:id="2" w:name="_Ref23488132"/>
      <w:r w:rsidRPr="00AA6E44">
        <w:t>R1-1911924, LS to RAN1&amp;4 on UE capabilities on DAPS HO, RAN2, RAN1</w:t>
      </w:r>
      <w:r w:rsidR="0046762B">
        <w:t xml:space="preserve"> </w:t>
      </w:r>
      <w:r w:rsidRPr="00AA6E44">
        <w:t>#99, Reno, November 2019</w:t>
      </w:r>
      <w:bookmarkEnd w:id="2"/>
    </w:p>
    <w:p w:rsidR="0086002C" w:rsidRDefault="0086002C" w:rsidP="006C1ACD">
      <w:pPr>
        <w:pStyle w:val="References"/>
        <w:rPr>
          <w:lang w:val="en-GB"/>
        </w:rPr>
      </w:pPr>
      <w:r>
        <w:rPr>
          <w:lang w:val="en-GB"/>
        </w:rPr>
        <w:t>Chairman’s Notes, RAN1 #99</w:t>
      </w:r>
      <w:r w:rsidRPr="00FC4BFD">
        <w:rPr>
          <w:lang w:val="en-GB"/>
        </w:rPr>
        <w:t>.</w:t>
      </w:r>
    </w:p>
    <w:p w:rsidR="004D0D1D" w:rsidRPr="004D0D1D" w:rsidRDefault="004D0D1D" w:rsidP="004D0D1D">
      <w:pPr>
        <w:pStyle w:val="References"/>
      </w:pPr>
      <w:r>
        <w:rPr>
          <w:rFonts w:hint="eastAsia"/>
        </w:rPr>
        <w:t>3GPP TS 38.213, Physical layer procedures for control</w:t>
      </w:r>
    </w:p>
    <w:p w:rsidR="006C1ACD" w:rsidRPr="0086002C" w:rsidRDefault="0046762B" w:rsidP="0086002C">
      <w:pPr>
        <w:pStyle w:val="References"/>
        <w:rPr>
          <w:lang w:val="en-GB"/>
        </w:rPr>
      </w:pPr>
      <w:r w:rsidRPr="0046762B">
        <w:t xml:space="preserve">R4-1915781, </w:t>
      </w:r>
      <w:bookmarkStart w:id="3" w:name="_Hlk506457506"/>
      <w:r w:rsidRPr="0046762B">
        <w:t>[Draft] Reply to</w:t>
      </w:r>
      <w:bookmarkEnd w:id="3"/>
      <w:r w:rsidRPr="0046762B">
        <w:t xml:space="preserve"> LS on UE capabilities on DAPS HO, RAN4, RAN4 #93</w:t>
      </w:r>
      <w:r w:rsidRPr="00AA6E44">
        <w:t>, Reno, November 2019</w:t>
      </w:r>
    </w:p>
    <w:p w:rsidR="00D31B4A" w:rsidRPr="00401797" w:rsidRDefault="00D31B4A" w:rsidP="00075F1D">
      <w:pPr>
        <w:pStyle w:val="References"/>
        <w:numPr>
          <w:ilvl w:val="0"/>
          <w:numId w:val="0"/>
        </w:numPr>
        <w:rPr>
          <w:lang w:val="en-GB"/>
        </w:rPr>
      </w:pPr>
    </w:p>
    <w:sectPr w:rsidR="00D31B4A" w:rsidRPr="00401797"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80C" w:rsidRDefault="005B580C" w:rsidP="007003B8">
      <w:r>
        <w:separator/>
      </w:r>
    </w:p>
  </w:endnote>
  <w:endnote w:type="continuationSeparator" w:id="0">
    <w:p w:rsidR="005B580C" w:rsidRDefault="005B580C"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80C" w:rsidRDefault="005B580C" w:rsidP="007003B8">
      <w:r>
        <w:separator/>
      </w:r>
    </w:p>
  </w:footnote>
  <w:footnote w:type="continuationSeparator" w:id="0">
    <w:p w:rsidR="005B580C" w:rsidRDefault="005B580C"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83DAA"/>
    <w:multiLevelType w:val="hybridMultilevel"/>
    <w:tmpl w:val="B86CB022"/>
    <w:lvl w:ilvl="0" w:tplc="8056F7BE">
      <w:start w:val="1"/>
      <w:numFmt w:val="bullet"/>
      <w:lvlText w:val="•"/>
      <w:lvlJc w:val="left"/>
      <w:pPr>
        <w:tabs>
          <w:tab w:val="num" w:pos="720"/>
        </w:tabs>
        <w:ind w:left="720" w:hanging="360"/>
      </w:pPr>
      <w:rPr>
        <w:rFonts w:ascii="Arial" w:hAnsi="Arial" w:hint="default"/>
      </w:rPr>
    </w:lvl>
    <w:lvl w:ilvl="1" w:tplc="C3F0523C" w:tentative="1">
      <w:start w:val="1"/>
      <w:numFmt w:val="bullet"/>
      <w:lvlText w:val="•"/>
      <w:lvlJc w:val="left"/>
      <w:pPr>
        <w:tabs>
          <w:tab w:val="num" w:pos="1440"/>
        </w:tabs>
        <w:ind w:left="1440" w:hanging="360"/>
      </w:pPr>
      <w:rPr>
        <w:rFonts w:ascii="Arial" w:hAnsi="Arial" w:hint="default"/>
      </w:rPr>
    </w:lvl>
    <w:lvl w:ilvl="2" w:tplc="297013FA" w:tentative="1">
      <w:start w:val="1"/>
      <w:numFmt w:val="bullet"/>
      <w:lvlText w:val="•"/>
      <w:lvlJc w:val="left"/>
      <w:pPr>
        <w:tabs>
          <w:tab w:val="num" w:pos="2160"/>
        </w:tabs>
        <w:ind w:left="2160" w:hanging="360"/>
      </w:pPr>
      <w:rPr>
        <w:rFonts w:ascii="Arial" w:hAnsi="Arial" w:hint="default"/>
      </w:rPr>
    </w:lvl>
    <w:lvl w:ilvl="3" w:tplc="B50E5768" w:tentative="1">
      <w:start w:val="1"/>
      <w:numFmt w:val="bullet"/>
      <w:lvlText w:val="•"/>
      <w:lvlJc w:val="left"/>
      <w:pPr>
        <w:tabs>
          <w:tab w:val="num" w:pos="2880"/>
        </w:tabs>
        <w:ind w:left="2880" w:hanging="360"/>
      </w:pPr>
      <w:rPr>
        <w:rFonts w:ascii="Arial" w:hAnsi="Arial" w:hint="default"/>
      </w:rPr>
    </w:lvl>
    <w:lvl w:ilvl="4" w:tplc="9BC8CA6E" w:tentative="1">
      <w:start w:val="1"/>
      <w:numFmt w:val="bullet"/>
      <w:lvlText w:val="•"/>
      <w:lvlJc w:val="left"/>
      <w:pPr>
        <w:tabs>
          <w:tab w:val="num" w:pos="3600"/>
        </w:tabs>
        <w:ind w:left="3600" w:hanging="360"/>
      </w:pPr>
      <w:rPr>
        <w:rFonts w:ascii="Arial" w:hAnsi="Arial" w:hint="default"/>
      </w:rPr>
    </w:lvl>
    <w:lvl w:ilvl="5" w:tplc="8ADE1186" w:tentative="1">
      <w:start w:val="1"/>
      <w:numFmt w:val="bullet"/>
      <w:lvlText w:val="•"/>
      <w:lvlJc w:val="left"/>
      <w:pPr>
        <w:tabs>
          <w:tab w:val="num" w:pos="4320"/>
        </w:tabs>
        <w:ind w:left="4320" w:hanging="360"/>
      </w:pPr>
      <w:rPr>
        <w:rFonts w:ascii="Arial" w:hAnsi="Arial" w:hint="default"/>
      </w:rPr>
    </w:lvl>
    <w:lvl w:ilvl="6" w:tplc="BCD6D59E" w:tentative="1">
      <w:start w:val="1"/>
      <w:numFmt w:val="bullet"/>
      <w:lvlText w:val="•"/>
      <w:lvlJc w:val="left"/>
      <w:pPr>
        <w:tabs>
          <w:tab w:val="num" w:pos="5040"/>
        </w:tabs>
        <w:ind w:left="5040" w:hanging="360"/>
      </w:pPr>
      <w:rPr>
        <w:rFonts w:ascii="Arial" w:hAnsi="Arial" w:hint="default"/>
      </w:rPr>
    </w:lvl>
    <w:lvl w:ilvl="7" w:tplc="8C46D040" w:tentative="1">
      <w:start w:val="1"/>
      <w:numFmt w:val="bullet"/>
      <w:lvlText w:val="•"/>
      <w:lvlJc w:val="left"/>
      <w:pPr>
        <w:tabs>
          <w:tab w:val="num" w:pos="5760"/>
        </w:tabs>
        <w:ind w:left="5760" w:hanging="360"/>
      </w:pPr>
      <w:rPr>
        <w:rFonts w:ascii="Arial" w:hAnsi="Arial" w:hint="default"/>
      </w:rPr>
    </w:lvl>
    <w:lvl w:ilvl="8" w:tplc="AEF0B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9688E"/>
    <w:multiLevelType w:val="hybridMultilevel"/>
    <w:tmpl w:val="A8B48262"/>
    <w:lvl w:ilvl="0" w:tplc="0409000F">
      <w:start w:val="1"/>
      <w:numFmt w:val="decimal"/>
      <w:lvlText w:val="%1."/>
      <w:lvlJc w:val="left"/>
      <w:pPr>
        <w:ind w:left="765" w:hanging="360"/>
      </w:pPr>
      <w:rPr>
        <w:rFonts w:cs="Times New Roman"/>
      </w:rPr>
    </w:lvl>
    <w:lvl w:ilvl="1" w:tplc="04090017">
      <w:start w:val="1"/>
      <w:numFmt w:val="lowerLetter"/>
      <w:lvlText w:val="%2)"/>
      <w:lvlJc w:val="left"/>
      <w:pPr>
        <w:ind w:left="1485" w:hanging="360"/>
      </w:pPr>
      <w:rPr>
        <w:rFonts w:cs="Times New Roman"/>
      </w:rPr>
    </w:lvl>
    <w:lvl w:ilvl="2" w:tplc="0409001B">
      <w:start w:val="1"/>
      <w:numFmt w:val="lowerRoman"/>
      <w:lvlText w:val="%3."/>
      <w:lvlJc w:val="right"/>
      <w:pPr>
        <w:ind w:left="2205" w:hanging="180"/>
      </w:pPr>
      <w:rPr>
        <w:rFonts w:cs="Times New Roman"/>
      </w:rPr>
    </w:lvl>
    <w:lvl w:ilvl="3" w:tplc="0409000F">
      <w:start w:val="1"/>
      <w:numFmt w:val="decimal"/>
      <w:lvlText w:val="%4."/>
      <w:lvlJc w:val="left"/>
      <w:pPr>
        <w:ind w:left="2925" w:hanging="360"/>
      </w:pPr>
      <w:rPr>
        <w:rFonts w:cs="Times New Roman"/>
      </w:rPr>
    </w:lvl>
    <w:lvl w:ilvl="4" w:tplc="04090019">
      <w:start w:val="1"/>
      <w:numFmt w:val="lowerLetter"/>
      <w:lvlText w:val="%5."/>
      <w:lvlJc w:val="left"/>
      <w:pPr>
        <w:ind w:left="3645" w:hanging="360"/>
      </w:pPr>
      <w:rPr>
        <w:rFonts w:cs="Times New Roman"/>
      </w:rPr>
    </w:lvl>
    <w:lvl w:ilvl="5" w:tplc="0409001B">
      <w:start w:val="1"/>
      <w:numFmt w:val="lowerRoman"/>
      <w:lvlText w:val="%6."/>
      <w:lvlJc w:val="right"/>
      <w:pPr>
        <w:ind w:left="4365" w:hanging="180"/>
      </w:pPr>
      <w:rPr>
        <w:rFonts w:cs="Times New Roman"/>
      </w:rPr>
    </w:lvl>
    <w:lvl w:ilvl="6" w:tplc="0409000F">
      <w:start w:val="1"/>
      <w:numFmt w:val="decimal"/>
      <w:lvlText w:val="%7."/>
      <w:lvlJc w:val="left"/>
      <w:pPr>
        <w:ind w:left="5085" w:hanging="360"/>
      </w:pPr>
      <w:rPr>
        <w:rFonts w:cs="Times New Roman"/>
      </w:rPr>
    </w:lvl>
    <w:lvl w:ilvl="7" w:tplc="04090019">
      <w:start w:val="1"/>
      <w:numFmt w:val="lowerLetter"/>
      <w:lvlText w:val="%8."/>
      <w:lvlJc w:val="left"/>
      <w:pPr>
        <w:ind w:left="5805" w:hanging="360"/>
      </w:pPr>
      <w:rPr>
        <w:rFonts w:cs="Times New Roman"/>
      </w:rPr>
    </w:lvl>
    <w:lvl w:ilvl="8" w:tplc="0409001B">
      <w:start w:val="1"/>
      <w:numFmt w:val="lowerRoman"/>
      <w:lvlText w:val="%9."/>
      <w:lvlJc w:val="right"/>
      <w:pPr>
        <w:ind w:left="6525" w:hanging="180"/>
      </w:pPr>
      <w:rPr>
        <w:rFonts w:cs="Times New Roman"/>
      </w:rPr>
    </w:lvl>
  </w:abstractNum>
  <w:abstractNum w:abstractNumId="6" w15:restartNumberingAfterBreak="0">
    <w:nsid w:val="19DEE570"/>
    <w:multiLevelType w:val="singleLevel"/>
    <w:tmpl w:val="19DEE570"/>
    <w:lvl w:ilvl="0">
      <w:start w:val="1"/>
      <w:numFmt w:val="bullet"/>
      <w:lvlText w:val=""/>
      <w:lvlJc w:val="left"/>
      <w:pPr>
        <w:ind w:left="420" w:hanging="420"/>
      </w:pPr>
      <w:rPr>
        <w:rFonts w:ascii="Wingdings" w:hAnsi="Wingdings" w:hint="default"/>
      </w:rPr>
    </w:lvl>
  </w:abstractNum>
  <w:abstractNum w:abstractNumId="7"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11"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B7B5C"/>
    <w:multiLevelType w:val="multilevel"/>
    <w:tmpl w:val="6B26F2F0"/>
    <w:lvl w:ilvl="0">
      <w:start w:val="1"/>
      <w:numFmt w:val="bullet"/>
      <w:lvlText w:val=""/>
      <w:lvlJc w:val="left"/>
      <w:pPr>
        <w:ind w:left="72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32A10FBC"/>
    <w:multiLevelType w:val="multilevel"/>
    <w:tmpl w:val="6B26F2F0"/>
    <w:lvl w:ilvl="0">
      <w:start w:val="1"/>
      <w:numFmt w:val="bullet"/>
      <w:lvlText w:val=""/>
      <w:lvlJc w:val="left"/>
      <w:pPr>
        <w:ind w:left="72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4FF4FC2"/>
    <w:multiLevelType w:val="hybridMultilevel"/>
    <w:tmpl w:val="9BF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B76FF0"/>
    <w:multiLevelType w:val="hybridMultilevel"/>
    <w:tmpl w:val="4A5AB322"/>
    <w:lvl w:ilvl="0" w:tplc="9F74A0EC">
      <w:start w:val="1"/>
      <w:numFmt w:val="bullet"/>
      <w:lvlText w:val="–"/>
      <w:lvlJc w:val="left"/>
      <w:pPr>
        <w:tabs>
          <w:tab w:val="num" w:pos="720"/>
        </w:tabs>
        <w:ind w:left="720" w:hanging="360"/>
      </w:pPr>
      <w:rPr>
        <w:rFonts w:ascii="Calibri Light" w:hAnsi="Calibri Light" w:hint="default"/>
      </w:rPr>
    </w:lvl>
    <w:lvl w:ilvl="1" w:tplc="03D431A8">
      <w:start w:val="1"/>
      <w:numFmt w:val="bullet"/>
      <w:lvlText w:val="–"/>
      <w:lvlJc w:val="left"/>
      <w:pPr>
        <w:tabs>
          <w:tab w:val="num" w:pos="1440"/>
        </w:tabs>
        <w:ind w:left="1440" w:hanging="360"/>
      </w:pPr>
      <w:rPr>
        <w:rFonts w:ascii="Calibri Light" w:hAnsi="Calibri Light" w:hint="default"/>
      </w:rPr>
    </w:lvl>
    <w:lvl w:ilvl="2" w:tplc="6E72841A" w:tentative="1">
      <w:start w:val="1"/>
      <w:numFmt w:val="bullet"/>
      <w:lvlText w:val="–"/>
      <w:lvlJc w:val="left"/>
      <w:pPr>
        <w:tabs>
          <w:tab w:val="num" w:pos="2160"/>
        </w:tabs>
        <w:ind w:left="2160" w:hanging="360"/>
      </w:pPr>
      <w:rPr>
        <w:rFonts w:ascii="Calibri Light" w:hAnsi="Calibri Light" w:hint="default"/>
      </w:rPr>
    </w:lvl>
    <w:lvl w:ilvl="3" w:tplc="4C3E4040" w:tentative="1">
      <w:start w:val="1"/>
      <w:numFmt w:val="bullet"/>
      <w:lvlText w:val="–"/>
      <w:lvlJc w:val="left"/>
      <w:pPr>
        <w:tabs>
          <w:tab w:val="num" w:pos="2880"/>
        </w:tabs>
        <w:ind w:left="2880" w:hanging="360"/>
      </w:pPr>
      <w:rPr>
        <w:rFonts w:ascii="Calibri Light" w:hAnsi="Calibri Light" w:hint="default"/>
      </w:rPr>
    </w:lvl>
    <w:lvl w:ilvl="4" w:tplc="37D67BE0" w:tentative="1">
      <w:start w:val="1"/>
      <w:numFmt w:val="bullet"/>
      <w:lvlText w:val="–"/>
      <w:lvlJc w:val="left"/>
      <w:pPr>
        <w:tabs>
          <w:tab w:val="num" w:pos="3600"/>
        </w:tabs>
        <w:ind w:left="3600" w:hanging="360"/>
      </w:pPr>
      <w:rPr>
        <w:rFonts w:ascii="Calibri Light" w:hAnsi="Calibri Light" w:hint="default"/>
      </w:rPr>
    </w:lvl>
    <w:lvl w:ilvl="5" w:tplc="CC30E6CC" w:tentative="1">
      <w:start w:val="1"/>
      <w:numFmt w:val="bullet"/>
      <w:lvlText w:val="–"/>
      <w:lvlJc w:val="left"/>
      <w:pPr>
        <w:tabs>
          <w:tab w:val="num" w:pos="4320"/>
        </w:tabs>
        <w:ind w:left="4320" w:hanging="360"/>
      </w:pPr>
      <w:rPr>
        <w:rFonts w:ascii="Calibri Light" w:hAnsi="Calibri Light" w:hint="default"/>
      </w:rPr>
    </w:lvl>
    <w:lvl w:ilvl="6" w:tplc="A1CCA668" w:tentative="1">
      <w:start w:val="1"/>
      <w:numFmt w:val="bullet"/>
      <w:lvlText w:val="–"/>
      <w:lvlJc w:val="left"/>
      <w:pPr>
        <w:tabs>
          <w:tab w:val="num" w:pos="5040"/>
        </w:tabs>
        <w:ind w:left="5040" w:hanging="360"/>
      </w:pPr>
      <w:rPr>
        <w:rFonts w:ascii="Calibri Light" w:hAnsi="Calibri Light" w:hint="default"/>
      </w:rPr>
    </w:lvl>
    <w:lvl w:ilvl="7" w:tplc="4D6EFF18" w:tentative="1">
      <w:start w:val="1"/>
      <w:numFmt w:val="bullet"/>
      <w:lvlText w:val="–"/>
      <w:lvlJc w:val="left"/>
      <w:pPr>
        <w:tabs>
          <w:tab w:val="num" w:pos="5760"/>
        </w:tabs>
        <w:ind w:left="5760" w:hanging="360"/>
      </w:pPr>
      <w:rPr>
        <w:rFonts w:ascii="Calibri Light" w:hAnsi="Calibri Light" w:hint="default"/>
      </w:rPr>
    </w:lvl>
    <w:lvl w:ilvl="8" w:tplc="09BE3860"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37027BC2"/>
    <w:multiLevelType w:val="hybridMultilevel"/>
    <w:tmpl w:val="16B4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B239B7"/>
    <w:multiLevelType w:val="hybridMultilevel"/>
    <w:tmpl w:val="A1F6D08C"/>
    <w:lvl w:ilvl="0" w:tplc="27707BCA">
      <w:start w:val="1"/>
      <w:numFmt w:val="bullet"/>
      <w:lvlText w:val="•"/>
      <w:lvlJc w:val="left"/>
      <w:pPr>
        <w:tabs>
          <w:tab w:val="num" w:pos="720"/>
        </w:tabs>
        <w:ind w:left="720" w:hanging="360"/>
      </w:pPr>
      <w:rPr>
        <w:rFonts w:ascii="Arial" w:hAnsi="Arial" w:hint="default"/>
      </w:rPr>
    </w:lvl>
    <w:lvl w:ilvl="1" w:tplc="94EE0804" w:tentative="1">
      <w:start w:val="1"/>
      <w:numFmt w:val="bullet"/>
      <w:lvlText w:val="•"/>
      <w:lvlJc w:val="left"/>
      <w:pPr>
        <w:tabs>
          <w:tab w:val="num" w:pos="1440"/>
        </w:tabs>
        <w:ind w:left="1440" w:hanging="360"/>
      </w:pPr>
      <w:rPr>
        <w:rFonts w:ascii="Arial" w:hAnsi="Arial" w:hint="default"/>
      </w:rPr>
    </w:lvl>
    <w:lvl w:ilvl="2" w:tplc="FF9CCF18" w:tentative="1">
      <w:start w:val="1"/>
      <w:numFmt w:val="bullet"/>
      <w:lvlText w:val="•"/>
      <w:lvlJc w:val="left"/>
      <w:pPr>
        <w:tabs>
          <w:tab w:val="num" w:pos="2160"/>
        </w:tabs>
        <w:ind w:left="2160" w:hanging="360"/>
      </w:pPr>
      <w:rPr>
        <w:rFonts w:ascii="Arial" w:hAnsi="Arial" w:hint="default"/>
      </w:rPr>
    </w:lvl>
    <w:lvl w:ilvl="3" w:tplc="6D24775C" w:tentative="1">
      <w:start w:val="1"/>
      <w:numFmt w:val="bullet"/>
      <w:lvlText w:val="•"/>
      <w:lvlJc w:val="left"/>
      <w:pPr>
        <w:tabs>
          <w:tab w:val="num" w:pos="2880"/>
        </w:tabs>
        <w:ind w:left="2880" w:hanging="360"/>
      </w:pPr>
      <w:rPr>
        <w:rFonts w:ascii="Arial" w:hAnsi="Arial" w:hint="default"/>
      </w:rPr>
    </w:lvl>
    <w:lvl w:ilvl="4" w:tplc="68DAEB6A" w:tentative="1">
      <w:start w:val="1"/>
      <w:numFmt w:val="bullet"/>
      <w:lvlText w:val="•"/>
      <w:lvlJc w:val="left"/>
      <w:pPr>
        <w:tabs>
          <w:tab w:val="num" w:pos="3600"/>
        </w:tabs>
        <w:ind w:left="3600" w:hanging="360"/>
      </w:pPr>
      <w:rPr>
        <w:rFonts w:ascii="Arial" w:hAnsi="Arial" w:hint="default"/>
      </w:rPr>
    </w:lvl>
    <w:lvl w:ilvl="5" w:tplc="D5720E9A" w:tentative="1">
      <w:start w:val="1"/>
      <w:numFmt w:val="bullet"/>
      <w:lvlText w:val="•"/>
      <w:lvlJc w:val="left"/>
      <w:pPr>
        <w:tabs>
          <w:tab w:val="num" w:pos="4320"/>
        </w:tabs>
        <w:ind w:left="4320" w:hanging="360"/>
      </w:pPr>
      <w:rPr>
        <w:rFonts w:ascii="Arial" w:hAnsi="Arial" w:hint="default"/>
      </w:rPr>
    </w:lvl>
    <w:lvl w:ilvl="6" w:tplc="84A09110" w:tentative="1">
      <w:start w:val="1"/>
      <w:numFmt w:val="bullet"/>
      <w:lvlText w:val="•"/>
      <w:lvlJc w:val="left"/>
      <w:pPr>
        <w:tabs>
          <w:tab w:val="num" w:pos="5040"/>
        </w:tabs>
        <w:ind w:left="5040" w:hanging="360"/>
      </w:pPr>
      <w:rPr>
        <w:rFonts w:ascii="Arial" w:hAnsi="Arial" w:hint="default"/>
      </w:rPr>
    </w:lvl>
    <w:lvl w:ilvl="7" w:tplc="A364B520" w:tentative="1">
      <w:start w:val="1"/>
      <w:numFmt w:val="bullet"/>
      <w:lvlText w:val="•"/>
      <w:lvlJc w:val="left"/>
      <w:pPr>
        <w:tabs>
          <w:tab w:val="num" w:pos="5760"/>
        </w:tabs>
        <w:ind w:left="5760" w:hanging="360"/>
      </w:pPr>
      <w:rPr>
        <w:rFonts w:ascii="Arial" w:hAnsi="Arial" w:hint="default"/>
      </w:rPr>
    </w:lvl>
    <w:lvl w:ilvl="8" w:tplc="11FEA6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23" w15:restartNumberingAfterBreak="0">
    <w:nsid w:val="42A4595C"/>
    <w:multiLevelType w:val="hybridMultilevel"/>
    <w:tmpl w:val="F31A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E6FCF"/>
    <w:multiLevelType w:val="multilevel"/>
    <w:tmpl w:val="6212A96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9" w15:restartNumberingAfterBreak="0">
    <w:nsid w:val="62BC221B"/>
    <w:multiLevelType w:val="hybridMultilevel"/>
    <w:tmpl w:val="B2389E54"/>
    <w:lvl w:ilvl="0" w:tplc="1F86B672">
      <w:start w:val="1"/>
      <w:numFmt w:val="bullet"/>
      <w:lvlText w:val="-"/>
      <w:lvlJc w:val="left"/>
      <w:pPr>
        <w:ind w:left="1080" w:hanging="360"/>
      </w:pPr>
      <w:rPr>
        <w:rFonts w:ascii="Calibri" w:eastAsia="新細明體" w:hAnsi="Calibri"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38950C1"/>
    <w:multiLevelType w:val="hybridMultilevel"/>
    <w:tmpl w:val="A740CC62"/>
    <w:lvl w:ilvl="0" w:tplc="8940FC70">
      <w:start w:val="1"/>
      <w:numFmt w:val="bullet"/>
      <w:lvlText w:val="•"/>
      <w:lvlJc w:val="left"/>
      <w:pPr>
        <w:tabs>
          <w:tab w:val="num" w:pos="720"/>
        </w:tabs>
        <w:ind w:left="720" w:hanging="360"/>
      </w:pPr>
      <w:rPr>
        <w:rFonts w:ascii="Arial" w:hAnsi="Arial" w:hint="default"/>
      </w:rPr>
    </w:lvl>
    <w:lvl w:ilvl="1" w:tplc="20F818AC" w:tentative="1">
      <w:start w:val="1"/>
      <w:numFmt w:val="bullet"/>
      <w:lvlText w:val="•"/>
      <w:lvlJc w:val="left"/>
      <w:pPr>
        <w:tabs>
          <w:tab w:val="num" w:pos="1440"/>
        </w:tabs>
        <w:ind w:left="1440" w:hanging="360"/>
      </w:pPr>
      <w:rPr>
        <w:rFonts w:ascii="Arial" w:hAnsi="Arial" w:hint="default"/>
      </w:rPr>
    </w:lvl>
    <w:lvl w:ilvl="2" w:tplc="EE76E290" w:tentative="1">
      <w:start w:val="1"/>
      <w:numFmt w:val="bullet"/>
      <w:lvlText w:val="•"/>
      <w:lvlJc w:val="left"/>
      <w:pPr>
        <w:tabs>
          <w:tab w:val="num" w:pos="2160"/>
        </w:tabs>
        <w:ind w:left="2160" w:hanging="360"/>
      </w:pPr>
      <w:rPr>
        <w:rFonts w:ascii="Arial" w:hAnsi="Arial" w:hint="default"/>
      </w:rPr>
    </w:lvl>
    <w:lvl w:ilvl="3" w:tplc="323A236E" w:tentative="1">
      <w:start w:val="1"/>
      <w:numFmt w:val="bullet"/>
      <w:lvlText w:val="•"/>
      <w:lvlJc w:val="left"/>
      <w:pPr>
        <w:tabs>
          <w:tab w:val="num" w:pos="2880"/>
        </w:tabs>
        <w:ind w:left="2880" w:hanging="360"/>
      </w:pPr>
      <w:rPr>
        <w:rFonts w:ascii="Arial" w:hAnsi="Arial" w:hint="default"/>
      </w:rPr>
    </w:lvl>
    <w:lvl w:ilvl="4" w:tplc="926A5E90" w:tentative="1">
      <w:start w:val="1"/>
      <w:numFmt w:val="bullet"/>
      <w:lvlText w:val="•"/>
      <w:lvlJc w:val="left"/>
      <w:pPr>
        <w:tabs>
          <w:tab w:val="num" w:pos="3600"/>
        </w:tabs>
        <w:ind w:left="3600" w:hanging="360"/>
      </w:pPr>
      <w:rPr>
        <w:rFonts w:ascii="Arial" w:hAnsi="Arial" w:hint="default"/>
      </w:rPr>
    </w:lvl>
    <w:lvl w:ilvl="5" w:tplc="38FA6066" w:tentative="1">
      <w:start w:val="1"/>
      <w:numFmt w:val="bullet"/>
      <w:lvlText w:val="•"/>
      <w:lvlJc w:val="left"/>
      <w:pPr>
        <w:tabs>
          <w:tab w:val="num" w:pos="4320"/>
        </w:tabs>
        <w:ind w:left="4320" w:hanging="360"/>
      </w:pPr>
      <w:rPr>
        <w:rFonts w:ascii="Arial" w:hAnsi="Arial" w:hint="default"/>
      </w:rPr>
    </w:lvl>
    <w:lvl w:ilvl="6" w:tplc="8FE840C6" w:tentative="1">
      <w:start w:val="1"/>
      <w:numFmt w:val="bullet"/>
      <w:lvlText w:val="•"/>
      <w:lvlJc w:val="left"/>
      <w:pPr>
        <w:tabs>
          <w:tab w:val="num" w:pos="5040"/>
        </w:tabs>
        <w:ind w:left="5040" w:hanging="360"/>
      </w:pPr>
      <w:rPr>
        <w:rFonts w:ascii="Arial" w:hAnsi="Arial" w:hint="default"/>
      </w:rPr>
    </w:lvl>
    <w:lvl w:ilvl="7" w:tplc="40CE8688" w:tentative="1">
      <w:start w:val="1"/>
      <w:numFmt w:val="bullet"/>
      <w:lvlText w:val="•"/>
      <w:lvlJc w:val="left"/>
      <w:pPr>
        <w:tabs>
          <w:tab w:val="num" w:pos="5760"/>
        </w:tabs>
        <w:ind w:left="5760" w:hanging="360"/>
      </w:pPr>
      <w:rPr>
        <w:rFonts w:ascii="Arial" w:hAnsi="Arial" w:hint="default"/>
      </w:rPr>
    </w:lvl>
    <w:lvl w:ilvl="8" w:tplc="B2F286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75D0C97"/>
    <w:multiLevelType w:val="hybridMultilevel"/>
    <w:tmpl w:val="7EB09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7"/>
  </w:num>
  <w:num w:numId="4">
    <w:abstractNumId w:val="31"/>
  </w:num>
  <w:num w:numId="5">
    <w:abstractNumId w:val="22"/>
  </w:num>
  <w:num w:numId="6">
    <w:abstractNumId w:val="10"/>
  </w:num>
  <w:num w:numId="7">
    <w:abstractNumId w:val="17"/>
  </w:num>
  <w:num w:numId="8">
    <w:abstractNumId w:val="26"/>
  </w:num>
  <w:num w:numId="9">
    <w:abstractNumId w:val="0"/>
  </w:num>
  <w:num w:numId="10">
    <w:abstractNumId w:val="3"/>
  </w:num>
  <w:num w:numId="11">
    <w:abstractNumId w:val="32"/>
  </w:num>
  <w:num w:numId="12">
    <w:abstractNumId w:val="28"/>
  </w:num>
  <w:num w:numId="13">
    <w:abstractNumId w:val="25"/>
  </w:num>
  <w:num w:numId="14">
    <w:abstractNumId w:val="1"/>
  </w:num>
  <w:num w:numId="15">
    <w:abstractNumId w:val="30"/>
  </w:num>
  <w:num w:numId="16">
    <w:abstractNumId w:val="15"/>
  </w:num>
  <w:num w:numId="17">
    <w:abstractNumId w:val="2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8"/>
  </w:num>
  <w:num w:numId="21">
    <w:abstractNumId w:val="12"/>
  </w:num>
  <w:num w:numId="22">
    <w:abstractNumId w:val="20"/>
  </w:num>
  <w:num w:numId="23">
    <w:abstractNumId w:val="5"/>
  </w:num>
  <w:num w:numId="24">
    <w:abstractNumId w:val="13"/>
  </w:num>
  <w:num w:numId="25">
    <w:abstractNumId w:val="33"/>
  </w:num>
  <w:num w:numId="26">
    <w:abstractNumId w:val="18"/>
  </w:num>
  <w:num w:numId="27">
    <w:abstractNumId w:val="23"/>
  </w:num>
  <w:num w:numId="28">
    <w:abstractNumId w:val="14"/>
  </w:num>
  <w:num w:numId="29">
    <w:abstractNumId w:val="24"/>
  </w:num>
  <w:num w:numId="30">
    <w:abstractNumId w:val="4"/>
  </w:num>
  <w:num w:numId="31">
    <w:abstractNumId w:val="16"/>
  </w:num>
  <w:num w:numId="32">
    <w:abstractNumId w:val="27"/>
  </w:num>
  <w:num w:numId="33">
    <w:abstractNumId w:val="29"/>
  </w:num>
  <w:num w:numId="34">
    <w:abstractNumId w:val="9"/>
  </w:num>
  <w:num w:numId="35">
    <w:abstractNumId w:val="6"/>
  </w:num>
  <w:num w:numId="3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2193"/>
    <w:rsid w:val="00004F6B"/>
    <w:rsid w:val="00005C7D"/>
    <w:rsid w:val="00007986"/>
    <w:rsid w:val="00010D0F"/>
    <w:rsid w:val="000129D3"/>
    <w:rsid w:val="00015301"/>
    <w:rsid w:val="0001537E"/>
    <w:rsid w:val="00021033"/>
    <w:rsid w:val="00024795"/>
    <w:rsid w:val="00026511"/>
    <w:rsid w:val="0002667F"/>
    <w:rsid w:val="00027563"/>
    <w:rsid w:val="00032400"/>
    <w:rsid w:val="00032AAF"/>
    <w:rsid w:val="00035608"/>
    <w:rsid w:val="00036984"/>
    <w:rsid w:val="00040DE7"/>
    <w:rsid w:val="00044F16"/>
    <w:rsid w:val="000457A5"/>
    <w:rsid w:val="000466EC"/>
    <w:rsid w:val="00046E19"/>
    <w:rsid w:val="00047956"/>
    <w:rsid w:val="00050190"/>
    <w:rsid w:val="0005076E"/>
    <w:rsid w:val="00050F19"/>
    <w:rsid w:val="0005225C"/>
    <w:rsid w:val="000539F5"/>
    <w:rsid w:val="00054B03"/>
    <w:rsid w:val="000575D4"/>
    <w:rsid w:val="000610AA"/>
    <w:rsid w:val="00061A81"/>
    <w:rsid w:val="00062BC9"/>
    <w:rsid w:val="000631DA"/>
    <w:rsid w:val="00063E95"/>
    <w:rsid w:val="000653B6"/>
    <w:rsid w:val="00067DE7"/>
    <w:rsid w:val="00067EA8"/>
    <w:rsid w:val="0007212B"/>
    <w:rsid w:val="00073846"/>
    <w:rsid w:val="0007411A"/>
    <w:rsid w:val="00075F1D"/>
    <w:rsid w:val="00076FBC"/>
    <w:rsid w:val="00082F23"/>
    <w:rsid w:val="00083802"/>
    <w:rsid w:val="00084FFC"/>
    <w:rsid w:val="000859B2"/>
    <w:rsid w:val="00085B18"/>
    <w:rsid w:val="00087CF4"/>
    <w:rsid w:val="00092AA6"/>
    <w:rsid w:val="00092D11"/>
    <w:rsid w:val="000930BA"/>
    <w:rsid w:val="000A167A"/>
    <w:rsid w:val="000A2421"/>
    <w:rsid w:val="000A2897"/>
    <w:rsid w:val="000A3E89"/>
    <w:rsid w:val="000A687C"/>
    <w:rsid w:val="000B0EE1"/>
    <w:rsid w:val="000B1224"/>
    <w:rsid w:val="000B1948"/>
    <w:rsid w:val="000B1F3C"/>
    <w:rsid w:val="000B22CB"/>
    <w:rsid w:val="000B5B22"/>
    <w:rsid w:val="000B73B2"/>
    <w:rsid w:val="000C1243"/>
    <w:rsid w:val="000C1BD9"/>
    <w:rsid w:val="000C34FE"/>
    <w:rsid w:val="000C3733"/>
    <w:rsid w:val="000C48A6"/>
    <w:rsid w:val="000C78A7"/>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3289"/>
    <w:rsid w:val="00117807"/>
    <w:rsid w:val="00123B56"/>
    <w:rsid w:val="001253E7"/>
    <w:rsid w:val="00125A47"/>
    <w:rsid w:val="00126B55"/>
    <w:rsid w:val="001276E6"/>
    <w:rsid w:val="00130897"/>
    <w:rsid w:val="001339DA"/>
    <w:rsid w:val="00136CC7"/>
    <w:rsid w:val="0014117A"/>
    <w:rsid w:val="00141E29"/>
    <w:rsid w:val="001465DE"/>
    <w:rsid w:val="00147259"/>
    <w:rsid w:val="00154A41"/>
    <w:rsid w:val="0016361E"/>
    <w:rsid w:val="00163B87"/>
    <w:rsid w:val="00165A15"/>
    <w:rsid w:val="00165D09"/>
    <w:rsid w:val="001706C8"/>
    <w:rsid w:val="00170F0B"/>
    <w:rsid w:val="00171115"/>
    <w:rsid w:val="001732C5"/>
    <w:rsid w:val="00173B6A"/>
    <w:rsid w:val="001745FE"/>
    <w:rsid w:val="0017515B"/>
    <w:rsid w:val="00180113"/>
    <w:rsid w:val="001801FA"/>
    <w:rsid w:val="00181666"/>
    <w:rsid w:val="00183557"/>
    <w:rsid w:val="00185907"/>
    <w:rsid w:val="00190EBC"/>
    <w:rsid w:val="00193F5A"/>
    <w:rsid w:val="00194467"/>
    <w:rsid w:val="00194F38"/>
    <w:rsid w:val="00197FD8"/>
    <w:rsid w:val="001A017D"/>
    <w:rsid w:val="001A22DD"/>
    <w:rsid w:val="001B3AE4"/>
    <w:rsid w:val="001B5318"/>
    <w:rsid w:val="001B6D2B"/>
    <w:rsid w:val="001C729D"/>
    <w:rsid w:val="001C7C83"/>
    <w:rsid w:val="001D0EC9"/>
    <w:rsid w:val="001D1713"/>
    <w:rsid w:val="001D443D"/>
    <w:rsid w:val="001D4A4A"/>
    <w:rsid w:val="001D66A7"/>
    <w:rsid w:val="001E3316"/>
    <w:rsid w:val="001E4FDB"/>
    <w:rsid w:val="001E7114"/>
    <w:rsid w:val="001E73BD"/>
    <w:rsid w:val="001E78EB"/>
    <w:rsid w:val="001F07FD"/>
    <w:rsid w:val="001F10BD"/>
    <w:rsid w:val="001F21E0"/>
    <w:rsid w:val="001F27EA"/>
    <w:rsid w:val="001F31D1"/>
    <w:rsid w:val="001F5017"/>
    <w:rsid w:val="001F7E68"/>
    <w:rsid w:val="00204459"/>
    <w:rsid w:val="0020475D"/>
    <w:rsid w:val="00204BBD"/>
    <w:rsid w:val="00210006"/>
    <w:rsid w:val="00210510"/>
    <w:rsid w:val="0021163C"/>
    <w:rsid w:val="0021381A"/>
    <w:rsid w:val="00213C9F"/>
    <w:rsid w:val="00214E5A"/>
    <w:rsid w:val="002215CB"/>
    <w:rsid w:val="002229D6"/>
    <w:rsid w:val="00233106"/>
    <w:rsid w:val="002343CD"/>
    <w:rsid w:val="00237BDB"/>
    <w:rsid w:val="00240867"/>
    <w:rsid w:val="00241C14"/>
    <w:rsid w:val="0024207A"/>
    <w:rsid w:val="00242AE1"/>
    <w:rsid w:val="00243B2C"/>
    <w:rsid w:val="0024463F"/>
    <w:rsid w:val="00245176"/>
    <w:rsid w:val="0024671F"/>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5ED9"/>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B4E89"/>
    <w:rsid w:val="002C03E3"/>
    <w:rsid w:val="002C1C21"/>
    <w:rsid w:val="002C2AD2"/>
    <w:rsid w:val="002C4390"/>
    <w:rsid w:val="002D0CBF"/>
    <w:rsid w:val="002D1681"/>
    <w:rsid w:val="002D26DE"/>
    <w:rsid w:val="002D444F"/>
    <w:rsid w:val="002D4CDD"/>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62D5"/>
    <w:rsid w:val="002F703F"/>
    <w:rsid w:val="00300D87"/>
    <w:rsid w:val="00302014"/>
    <w:rsid w:val="003021A5"/>
    <w:rsid w:val="00303BF7"/>
    <w:rsid w:val="00305B1A"/>
    <w:rsid w:val="003124B8"/>
    <w:rsid w:val="00315349"/>
    <w:rsid w:val="00321744"/>
    <w:rsid w:val="00322788"/>
    <w:rsid w:val="003242F2"/>
    <w:rsid w:val="00325E94"/>
    <w:rsid w:val="003278D7"/>
    <w:rsid w:val="00327D24"/>
    <w:rsid w:val="00330C8F"/>
    <w:rsid w:val="00330D59"/>
    <w:rsid w:val="00331401"/>
    <w:rsid w:val="0033156D"/>
    <w:rsid w:val="00333215"/>
    <w:rsid w:val="003350FE"/>
    <w:rsid w:val="00335495"/>
    <w:rsid w:val="003361E2"/>
    <w:rsid w:val="003375F3"/>
    <w:rsid w:val="00341D25"/>
    <w:rsid w:val="003426BA"/>
    <w:rsid w:val="00344D4E"/>
    <w:rsid w:val="0035206F"/>
    <w:rsid w:val="0035347E"/>
    <w:rsid w:val="00353EB2"/>
    <w:rsid w:val="00360D6B"/>
    <w:rsid w:val="00360E07"/>
    <w:rsid w:val="00361DD9"/>
    <w:rsid w:val="00361DDB"/>
    <w:rsid w:val="0036490A"/>
    <w:rsid w:val="00364BDB"/>
    <w:rsid w:val="00367D02"/>
    <w:rsid w:val="00372D2B"/>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294"/>
    <w:rsid w:val="003F1347"/>
    <w:rsid w:val="003F712E"/>
    <w:rsid w:val="003F7B60"/>
    <w:rsid w:val="00400975"/>
    <w:rsid w:val="00401797"/>
    <w:rsid w:val="00407A61"/>
    <w:rsid w:val="004108E1"/>
    <w:rsid w:val="00410EDC"/>
    <w:rsid w:val="00412189"/>
    <w:rsid w:val="00412A62"/>
    <w:rsid w:val="00412AE0"/>
    <w:rsid w:val="00412E69"/>
    <w:rsid w:val="00413E09"/>
    <w:rsid w:val="004152D0"/>
    <w:rsid w:val="00416AA7"/>
    <w:rsid w:val="00416B53"/>
    <w:rsid w:val="00416D82"/>
    <w:rsid w:val="0041705B"/>
    <w:rsid w:val="0042001E"/>
    <w:rsid w:val="00421083"/>
    <w:rsid w:val="004218FC"/>
    <w:rsid w:val="004229CC"/>
    <w:rsid w:val="004232DC"/>
    <w:rsid w:val="00423CFE"/>
    <w:rsid w:val="00427430"/>
    <w:rsid w:val="00431138"/>
    <w:rsid w:val="00433B5A"/>
    <w:rsid w:val="00433C66"/>
    <w:rsid w:val="0043498F"/>
    <w:rsid w:val="00434A53"/>
    <w:rsid w:val="004366E1"/>
    <w:rsid w:val="00436CB8"/>
    <w:rsid w:val="00440FDD"/>
    <w:rsid w:val="00443ECE"/>
    <w:rsid w:val="0044709C"/>
    <w:rsid w:val="00450E7E"/>
    <w:rsid w:val="00455368"/>
    <w:rsid w:val="004561CC"/>
    <w:rsid w:val="00457D3C"/>
    <w:rsid w:val="00457F84"/>
    <w:rsid w:val="00460214"/>
    <w:rsid w:val="00460C54"/>
    <w:rsid w:val="00462871"/>
    <w:rsid w:val="00464366"/>
    <w:rsid w:val="00465DD0"/>
    <w:rsid w:val="00465EDD"/>
    <w:rsid w:val="00466132"/>
    <w:rsid w:val="0046762B"/>
    <w:rsid w:val="00472339"/>
    <w:rsid w:val="0047357D"/>
    <w:rsid w:val="00474AD4"/>
    <w:rsid w:val="00475159"/>
    <w:rsid w:val="00481AFF"/>
    <w:rsid w:val="00483312"/>
    <w:rsid w:val="00485634"/>
    <w:rsid w:val="004865BC"/>
    <w:rsid w:val="00487B53"/>
    <w:rsid w:val="004918F2"/>
    <w:rsid w:val="0049235F"/>
    <w:rsid w:val="00492A2C"/>
    <w:rsid w:val="00493FB0"/>
    <w:rsid w:val="00494DAE"/>
    <w:rsid w:val="004950AF"/>
    <w:rsid w:val="004958E9"/>
    <w:rsid w:val="00495B30"/>
    <w:rsid w:val="00496CCF"/>
    <w:rsid w:val="004974BE"/>
    <w:rsid w:val="004A04F3"/>
    <w:rsid w:val="004A279D"/>
    <w:rsid w:val="004A43BA"/>
    <w:rsid w:val="004B0977"/>
    <w:rsid w:val="004C0687"/>
    <w:rsid w:val="004C19A0"/>
    <w:rsid w:val="004C2CF7"/>
    <w:rsid w:val="004C537E"/>
    <w:rsid w:val="004C5CD9"/>
    <w:rsid w:val="004C5EE2"/>
    <w:rsid w:val="004C6B70"/>
    <w:rsid w:val="004C7B24"/>
    <w:rsid w:val="004D0D1D"/>
    <w:rsid w:val="004D229B"/>
    <w:rsid w:val="004D35AE"/>
    <w:rsid w:val="004D3B5F"/>
    <w:rsid w:val="004D4D20"/>
    <w:rsid w:val="004D581C"/>
    <w:rsid w:val="004D7A8F"/>
    <w:rsid w:val="004D7D53"/>
    <w:rsid w:val="004E1FB9"/>
    <w:rsid w:val="004E22AD"/>
    <w:rsid w:val="004E2708"/>
    <w:rsid w:val="004E3A0B"/>
    <w:rsid w:val="004E6314"/>
    <w:rsid w:val="004E6ED1"/>
    <w:rsid w:val="004F44F0"/>
    <w:rsid w:val="004F5096"/>
    <w:rsid w:val="004F5326"/>
    <w:rsid w:val="004F5999"/>
    <w:rsid w:val="005004CE"/>
    <w:rsid w:val="005026DC"/>
    <w:rsid w:val="00504D0B"/>
    <w:rsid w:val="00505A22"/>
    <w:rsid w:val="0051114C"/>
    <w:rsid w:val="00514DD8"/>
    <w:rsid w:val="00514DFC"/>
    <w:rsid w:val="00515471"/>
    <w:rsid w:val="005205AA"/>
    <w:rsid w:val="00521627"/>
    <w:rsid w:val="00522503"/>
    <w:rsid w:val="005227BD"/>
    <w:rsid w:val="005232F2"/>
    <w:rsid w:val="00523E3F"/>
    <w:rsid w:val="00524946"/>
    <w:rsid w:val="005258E4"/>
    <w:rsid w:val="0053022D"/>
    <w:rsid w:val="005308C6"/>
    <w:rsid w:val="00531479"/>
    <w:rsid w:val="0053285B"/>
    <w:rsid w:val="00533BA1"/>
    <w:rsid w:val="00534658"/>
    <w:rsid w:val="00542A1B"/>
    <w:rsid w:val="00546EBF"/>
    <w:rsid w:val="00547133"/>
    <w:rsid w:val="00551403"/>
    <w:rsid w:val="00552686"/>
    <w:rsid w:val="00552ADB"/>
    <w:rsid w:val="00553319"/>
    <w:rsid w:val="00553BCE"/>
    <w:rsid w:val="00554276"/>
    <w:rsid w:val="00555319"/>
    <w:rsid w:val="00555926"/>
    <w:rsid w:val="005565FA"/>
    <w:rsid w:val="00556C56"/>
    <w:rsid w:val="00561795"/>
    <w:rsid w:val="0056355A"/>
    <w:rsid w:val="00566AC0"/>
    <w:rsid w:val="00573FD2"/>
    <w:rsid w:val="0057665A"/>
    <w:rsid w:val="0057797C"/>
    <w:rsid w:val="0058014D"/>
    <w:rsid w:val="00580B32"/>
    <w:rsid w:val="00582711"/>
    <w:rsid w:val="00584CC4"/>
    <w:rsid w:val="00585468"/>
    <w:rsid w:val="00585771"/>
    <w:rsid w:val="00587939"/>
    <w:rsid w:val="00591A08"/>
    <w:rsid w:val="00592096"/>
    <w:rsid w:val="0059375F"/>
    <w:rsid w:val="00593824"/>
    <w:rsid w:val="00596106"/>
    <w:rsid w:val="005A330C"/>
    <w:rsid w:val="005A4A63"/>
    <w:rsid w:val="005A598B"/>
    <w:rsid w:val="005A5DBA"/>
    <w:rsid w:val="005A689F"/>
    <w:rsid w:val="005B108E"/>
    <w:rsid w:val="005B235F"/>
    <w:rsid w:val="005B580C"/>
    <w:rsid w:val="005B7B21"/>
    <w:rsid w:val="005B7DDE"/>
    <w:rsid w:val="005C0EED"/>
    <w:rsid w:val="005C2000"/>
    <w:rsid w:val="005C55D4"/>
    <w:rsid w:val="005C5777"/>
    <w:rsid w:val="005D0A38"/>
    <w:rsid w:val="005D1940"/>
    <w:rsid w:val="005D3A07"/>
    <w:rsid w:val="005D4EB3"/>
    <w:rsid w:val="005D6A68"/>
    <w:rsid w:val="005D704B"/>
    <w:rsid w:val="005D7376"/>
    <w:rsid w:val="005D7E08"/>
    <w:rsid w:val="005E0A4D"/>
    <w:rsid w:val="005E0ADF"/>
    <w:rsid w:val="005E200A"/>
    <w:rsid w:val="005E23CA"/>
    <w:rsid w:val="005E2B7A"/>
    <w:rsid w:val="005E2CCD"/>
    <w:rsid w:val="005E4ECD"/>
    <w:rsid w:val="005E68D6"/>
    <w:rsid w:val="005E699E"/>
    <w:rsid w:val="005E7796"/>
    <w:rsid w:val="005F07CC"/>
    <w:rsid w:val="005F2214"/>
    <w:rsid w:val="005F2F35"/>
    <w:rsid w:val="005F7029"/>
    <w:rsid w:val="005F7471"/>
    <w:rsid w:val="00603052"/>
    <w:rsid w:val="00603D7E"/>
    <w:rsid w:val="006041C7"/>
    <w:rsid w:val="006044FA"/>
    <w:rsid w:val="00604C5F"/>
    <w:rsid w:val="00606080"/>
    <w:rsid w:val="006101D8"/>
    <w:rsid w:val="006104FA"/>
    <w:rsid w:val="00611E05"/>
    <w:rsid w:val="006135EB"/>
    <w:rsid w:val="00615070"/>
    <w:rsid w:val="0061718F"/>
    <w:rsid w:val="00621749"/>
    <w:rsid w:val="00621F5E"/>
    <w:rsid w:val="00626FE2"/>
    <w:rsid w:val="006316C8"/>
    <w:rsid w:val="00631FB3"/>
    <w:rsid w:val="0063271E"/>
    <w:rsid w:val="006341CB"/>
    <w:rsid w:val="00636C87"/>
    <w:rsid w:val="00637062"/>
    <w:rsid w:val="00637DE3"/>
    <w:rsid w:val="00640AE1"/>
    <w:rsid w:val="006427AC"/>
    <w:rsid w:val="00643E58"/>
    <w:rsid w:val="00643F63"/>
    <w:rsid w:val="0064664D"/>
    <w:rsid w:val="00647FF7"/>
    <w:rsid w:val="006504C2"/>
    <w:rsid w:val="00650F49"/>
    <w:rsid w:val="006510BE"/>
    <w:rsid w:val="00654041"/>
    <w:rsid w:val="006571DE"/>
    <w:rsid w:val="00660462"/>
    <w:rsid w:val="00660950"/>
    <w:rsid w:val="00663AF6"/>
    <w:rsid w:val="00663D07"/>
    <w:rsid w:val="006657E2"/>
    <w:rsid w:val="00665C1A"/>
    <w:rsid w:val="006707F9"/>
    <w:rsid w:val="00670DE0"/>
    <w:rsid w:val="00672C64"/>
    <w:rsid w:val="00674E92"/>
    <w:rsid w:val="006750D7"/>
    <w:rsid w:val="00680170"/>
    <w:rsid w:val="00680AA6"/>
    <w:rsid w:val="00681C45"/>
    <w:rsid w:val="00682489"/>
    <w:rsid w:val="006850DD"/>
    <w:rsid w:val="006866E9"/>
    <w:rsid w:val="00687F1C"/>
    <w:rsid w:val="006918FD"/>
    <w:rsid w:val="006943F4"/>
    <w:rsid w:val="00697CF6"/>
    <w:rsid w:val="006A263B"/>
    <w:rsid w:val="006A2F3C"/>
    <w:rsid w:val="006A4012"/>
    <w:rsid w:val="006A450D"/>
    <w:rsid w:val="006A5D02"/>
    <w:rsid w:val="006A6633"/>
    <w:rsid w:val="006A683E"/>
    <w:rsid w:val="006A6B65"/>
    <w:rsid w:val="006B02E9"/>
    <w:rsid w:val="006B6699"/>
    <w:rsid w:val="006C1ACD"/>
    <w:rsid w:val="006C2EF4"/>
    <w:rsid w:val="006C3A34"/>
    <w:rsid w:val="006C62BB"/>
    <w:rsid w:val="006D033C"/>
    <w:rsid w:val="006D4248"/>
    <w:rsid w:val="006F1D22"/>
    <w:rsid w:val="006F22DE"/>
    <w:rsid w:val="006F6D79"/>
    <w:rsid w:val="006F6EFE"/>
    <w:rsid w:val="006F7ADE"/>
    <w:rsid w:val="007003B8"/>
    <w:rsid w:val="00700A3C"/>
    <w:rsid w:val="00701F1A"/>
    <w:rsid w:val="0070277B"/>
    <w:rsid w:val="007056B8"/>
    <w:rsid w:val="00705B72"/>
    <w:rsid w:val="00707FFD"/>
    <w:rsid w:val="00710507"/>
    <w:rsid w:val="0071257C"/>
    <w:rsid w:val="007128EC"/>
    <w:rsid w:val="007147CF"/>
    <w:rsid w:val="007153CB"/>
    <w:rsid w:val="00717951"/>
    <w:rsid w:val="00720299"/>
    <w:rsid w:val="0072083A"/>
    <w:rsid w:val="00720DC4"/>
    <w:rsid w:val="00722710"/>
    <w:rsid w:val="00722866"/>
    <w:rsid w:val="00723533"/>
    <w:rsid w:val="00725147"/>
    <w:rsid w:val="007257B0"/>
    <w:rsid w:val="007268F2"/>
    <w:rsid w:val="0073105E"/>
    <w:rsid w:val="00732C1B"/>
    <w:rsid w:val="00734728"/>
    <w:rsid w:val="00734947"/>
    <w:rsid w:val="00736A8A"/>
    <w:rsid w:val="00740223"/>
    <w:rsid w:val="00741E57"/>
    <w:rsid w:val="00742872"/>
    <w:rsid w:val="00743B0A"/>
    <w:rsid w:val="00743DB0"/>
    <w:rsid w:val="00744479"/>
    <w:rsid w:val="00745622"/>
    <w:rsid w:val="00745851"/>
    <w:rsid w:val="00746A29"/>
    <w:rsid w:val="00750F03"/>
    <w:rsid w:val="007575DA"/>
    <w:rsid w:val="007627FC"/>
    <w:rsid w:val="00762D63"/>
    <w:rsid w:val="00763685"/>
    <w:rsid w:val="00764674"/>
    <w:rsid w:val="00764FA6"/>
    <w:rsid w:val="007657E6"/>
    <w:rsid w:val="00770E6B"/>
    <w:rsid w:val="00771412"/>
    <w:rsid w:val="007714A5"/>
    <w:rsid w:val="007763FA"/>
    <w:rsid w:val="00776AF9"/>
    <w:rsid w:val="00777E93"/>
    <w:rsid w:val="007804A8"/>
    <w:rsid w:val="00780BED"/>
    <w:rsid w:val="0078147B"/>
    <w:rsid w:val="007829E5"/>
    <w:rsid w:val="00782EEA"/>
    <w:rsid w:val="00783E6D"/>
    <w:rsid w:val="00785E86"/>
    <w:rsid w:val="00792C52"/>
    <w:rsid w:val="00794646"/>
    <w:rsid w:val="00796AC3"/>
    <w:rsid w:val="007973FC"/>
    <w:rsid w:val="007A169A"/>
    <w:rsid w:val="007A1BE9"/>
    <w:rsid w:val="007A32B9"/>
    <w:rsid w:val="007A7605"/>
    <w:rsid w:val="007B3865"/>
    <w:rsid w:val="007B3DCA"/>
    <w:rsid w:val="007B487E"/>
    <w:rsid w:val="007B493C"/>
    <w:rsid w:val="007B5BDF"/>
    <w:rsid w:val="007C0FA7"/>
    <w:rsid w:val="007C59BB"/>
    <w:rsid w:val="007C5E40"/>
    <w:rsid w:val="007D1244"/>
    <w:rsid w:val="007E0394"/>
    <w:rsid w:val="007E05A7"/>
    <w:rsid w:val="007E0C22"/>
    <w:rsid w:val="007E3FDF"/>
    <w:rsid w:val="007E4698"/>
    <w:rsid w:val="007E683D"/>
    <w:rsid w:val="007E71E1"/>
    <w:rsid w:val="007E7D2D"/>
    <w:rsid w:val="007F101F"/>
    <w:rsid w:val="007F31BC"/>
    <w:rsid w:val="007F3478"/>
    <w:rsid w:val="007F46C9"/>
    <w:rsid w:val="007F515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426"/>
    <w:rsid w:val="008215A0"/>
    <w:rsid w:val="00824DC7"/>
    <w:rsid w:val="008259AD"/>
    <w:rsid w:val="00825AB3"/>
    <w:rsid w:val="008265A1"/>
    <w:rsid w:val="0082735D"/>
    <w:rsid w:val="008277FB"/>
    <w:rsid w:val="00830C11"/>
    <w:rsid w:val="00830EDA"/>
    <w:rsid w:val="008327BE"/>
    <w:rsid w:val="00834839"/>
    <w:rsid w:val="008351C1"/>
    <w:rsid w:val="0083602E"/>
    <w:rsid w:val="0084028F"/>
    <w:rsid w:val="0084283F"/>
    <w:rsid w:val="00847F4F"/>
    <w:rsid w:val="008510BC"/>
    <w:rsid w:val="008518D1"/>
    <w:rsid w:val="00851B59"/>
    <w:rsid w:val="00851C61"/>
    <w:rsid w:val="008526DF"/>
    <w:rsid w:val="00854D00"/>
    <w:rsid w:val="00856AA4"/>
    <w:rsid w:val="00857145"/>
    <w:rsid w:val="0086002C"/>
    <w:rsid w:val="00860ABD"/>
    <w:rsid w:val="00862D0D"/>
    <w:rsid w:val="0087186E"/>
    <w:rsid w:val="00871D2C"/>
    <w:rsid w:val="0087599A"/>
    <w:rsid w:val="00881EEA"/>
    <w:rsid w:val="008835B0"/>
    <w:rsid w:val="00883883"/>
    <w:rsid w:val="00884CCD"/>
    <w:rsid w:val="0088500F"/>
    <w:rsid w:val="008855AE"/>
    <w:rsid w:val="00885EFD"/>
    <w:rsid w:val="00886B5B"/>
    <w:rsid w:val="00891634"/>
    <w:rsid w:val="00891C65"/>
    <w:rsid w:val="008929DE"/>
    <w:rsid w:val="00892B94"/>
    <w:rsid w:val="00892D34"/>
    <w:rsid w:val="00894E83"/>
    <w:rsid w:val="00895756"/>
    <w:rsid w:val="00896C84"/>
    <w:rsid w:val="00897F71"/>
    <w:rsid w:val="008A08E7"/>
    <w:rsid w:val="008A50CE"/>
    <w:rsid w:val="008A5B9F"/>
    <w:rsid w:val="008A7001"/>
    <w:rsid w:val="008B010B"/>
    <w:rsid w:val="008B0672"/>
    <w:rsid w:val="008B3A56"/>
    <w:rsid w:val="008C1A38"/>
    <w:rsid w:val="008C7113"/>
    <w:rsid w:val="008D08C9"/>
    <w:rsid w:val="008D3374"/>
    <w:rsid w:val="008D4981"/>
    <w:rsid w:val="008D4F18"/>
    <w:rsid w:val="008D5F9D"/>
    <w:rsid w:val="008D5FC4"/>
    <w:rsid w:val="008E46EB"/>
    <w:rsid w:val="008E5CB7"/>
    <w:rsid w:val="008E70BF"/>
    <w:rsid w:val="008E7B8A"/>
    <w:rsid w:val="008F183D"/>
    <w:rsid w:val="008F3D58"/>
    <w:rsid w:val="008F62F7"/>
    <w:rsid w:val="008F7FAA"/>
    <w:rsid w:val="00901270"/>
    <w:rsid w:val="00902E64"/>
    <w:rsid w:val="00910C6D"/>
    <w:rsid w:val="009111B9"/>
    <w:rsid w:val="009120A3"/>
    <w:rsid w:val="00912630"/>
    <w:rsid w:val="00914B61"/>
    <w:rsid w:val="00916925"/>
    <w:rsid w:val="00916EAC"/>
    <w:rsid w:val="009205AC"/>
    <w:rsid w:val="009239C1"/>
    <w:rsid w:val="0092431C"/>
    <w:rsid w:val="00926C2C"/>
    <w:rsid w:val="00930E64"/>
    <w:rsid w:val="009347FC"/>
    <w:rsid w:val="00934B3F"/>
    <w:rsid w:val="00934E1E"/>
    <w:rsid w:val="0093702D"/>
    <w:rsid w:val="0093726A"/>
    <w:rsid w:val="00943035"/>
    <w:rsid w:val="00944BA9"/>
    <w:rsid w:val="00952D19"/>
    <w:rsid w:val="00953E58"/>
    <w:rsid w:val="00955078"/>
    <w:rsid w:val="0095756B"/>
    <w:rsid w:val="009600FE"/>
    <w:rsid w:val="00963797"/>
    <w:rsid w:val="0096522D"/>
    <w:rsid w:val="00965F8E"/>
    <w:rsid w:val="00966493"/>
    <w:rsid w:val="0097373C"/>
    <w:rsid w:val="00975148"/>
    <w:rsid w:val="0097611E"/>
    <w:rsid w:val="009823FE"/>
    <w:rsid w:val="0098244D"/>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72C2"/>
    <w:rsid w:val="009C16C4"/>
    <w:rsid w:val="009C3B42"/>
    <w:rsid w:val="009C519E"/>
    <w:rsid w:val="009D0D88"/>
    <w:rsid w:val="009D2B69"/>
    <w:rsid w:val="009D2EA2"/>
    <w:rsid w:val="009D313D"/>
    <w:rsid w:val="009D37DF"/>
    <w:rsid w:val="009D4F77"/>
    <w:rsid w:val="009D6C0B"/>
    <w:rsid w:val="009E481A"/>
    <w:rsid w:val="009E49BD"/>
    <w:rsid w:val="009E6DCE"/>
    <w:rsid w:val="009F2EF2"/>
    <w:rsid w:val="009F38D3"/>
    <w:rsid w:val="009F6EE4"/>
    <w:rsid w:val="009F6F04"/>
    <w:rsid w:val="00A000CD"/>
    <w:rsid w:val="00A01909"/>
    <w:rsid w:val="00A024F2"/>
    <w:rsid w:val="00A041FF"/>
    <w:rsid w:val="00A05F2F"/>
    <w:rsid w:val="00A06EC1"/>
    <w:rsid w:val="00A1137A"/>
    <w:rsid w:val="00A11AEF"/>
    <w:rsid w:val="00A11F9A"/>
    <w:rsid w:val="00A125C1"/>
    <w:rsid w:val="00A14ADD"/>
    <w:rsid w:val="00A152EA"/>
    <w:rsid w:val="00A15D5E"/>
    <w:rsid w:val="00A20B1E"/>
    <w:rsid w:val="00A21E70"/>
    <w:rsid w:val="00A23594"/>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52A08"/>
    <w:rsid w:val="00A53147"/>
    <w:rsid w:val="00A5446B"/>
    <w:rsid w:val="00A62990"/>
    <w:rsid w:val="00A63004"/>
    <w:rsid w:val="00A65245"/>
    <w:rsid w:val="00A658F7"/>
    <w:rsid w:val="00A664F0"/>
    <w:rsid w:val="00A66DE4"/>
    <w:rsid w:val="00A70BAB"/>
    <w:rsid w:val="00A71242"/>
    <w:rsid w:val="00A72AEA"/>
    <w:rsid w:val="00A7372B"/>
    <w:rsid w:val="00A73D81"/>
    <w:rsid w:val="00A74659"/>
    <w:rsid w:val="00A74754"/>
    <w:rsid w:val="00A74E23"/>
    <w:rsid w:val="00A8222E"/>
    <w:rsid w:val="00A82C96"/>
    <w:rsid w:val="00A82D38"/>
    <w:rsid w:val="00A84B91"/>
    <w:rsid w:val="00A85639"/>
    <w:rsid w:val="00A909BA"/>
    <w:rsid w:val="00A9179E"/>
    <w:rsid w:val="00A937C5"/>
    <w:rsid w:val="00A93C1F"/>
    <w:rsid w:val="00A96B9D"/>
    <w:rsid w:val="00A96D9E"/>
    <w:rsid w:val="00A97106"/>
    <w:rsid w:val="00AA0B0E"/>
    <w:rsid w:val="00AA1A7C"/>
    <w:rsid w:val="00AA2916"/>
    <w:rsid w:val="00AA5FC4"/>
    <w:rsid w:val="00AA6AD9"/>
    <w:rsid w:val="00AB0A3C"/>
    <w:rsid w:val="00AB154D"/>
    <w:rsid w:val="00AB1C84"/>
    <w:rsid w:val="00AB2293"/>
    <w:rsid w:val="00AB2DF2"/>
    <w:rsid w:val="00AB3AC9"/>
    <w:rsid w:val="00AB625E"/>
    <w:rsid w:val="00AB7ECE"/>
    <w:rsid w:val="00AC15C1"/>
    <w:rsid w:val="00AC213F"/>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6137"/>
    <w:rsid w:val="00AE6EEE"/>
    <w:rsid w:val="00AE7B99"/>
    <w:rsid w:val="00AF16C7"/>
    <w:rsid w:val="00AF25D9"/>
    <w:rsid w:val="00AF36D1"/>
    <w:rsid w:val="00AF3DEA"/>
    <w:rsid w:val="00AF487D"/>
    <w:rsid w:val="00AF48D4"/>
    <w:rsid w:val="00AF4AEA"/>
    <w:rsid w:val="00AF66C1"/>
    <w:rsid w:val="00AF7A09"/>
    <w:rsid w:val="00AF7D0B"/>
    <w:rsid w:val="00AF7F17"/>
    <w:rsid w:val="00B02336"/>
    <w:rsid w:val="00B1274E"/>
    <w:rsid w:val="00B13C4E"/>
    <w:rsid w:val="00B166BB"/>
    <w:rsid w:val="00B16DEE"/>
    <w:rsid w:val="00B21962"/>
    <w:rsid w:val="00B21EEB"/>
    <w:rsid w:val="00B2396B"/>
    <w:rsid w:val="00B25E6D"/>
    <w:rsid w:val="00B27766"/>
    <w:rsid w:val="00B27825"/>
    <w:rsid w:val="00B303ED"/>
    <w:rsid w:val="00B30CB0"/>
    <w:rsid w:val="00B30CF7"/>
    <w:rsid w:val="00B31010"/>
    <w:rsid w:val="00B3179B"/>
    <w:rsid w:val="00B35463"/>
    <w:rsid w:val="00B35B61"/>
    <w:rsid w:val="00B36CB5"/>
    <w:rsid w:val="00B37F93"/>
    <w:rsid w:val="00B37FD0"/>
    <w:rsid w:val="00B405D7"/>
    <w:rsid w:val="00B41E8A"/>
    <w:rsid w:val="00B43161"/>
    <w:rsid w:val="00B43664"/>
    <w:rsid w:val="00B44149"/>
    <w:rsid w:val="00B4632A"/>
    <w:rsid w:val="00B46805"/>
    <w:rsid w:val="00B4699F"/>
    <w:rsid w:val="00B47E4D"/>
    <w:rsid w:val="00B5121D"/>
    <w:rsid w:val="00B54486"/>
    <w:rsid w:val="00B54E2C"/>
    <w:rsid w:val="00B55889"/>
    <w:rsid w:val="00B55A00"/>
    <w:rsid w:val="00B57214"/>
    <w:rsid w:val="00B6525F"/>
    <w:rsid w:val="00B65A9D"/>
    <w:rsid w:val="00B71A01"/>
    <w:rsid w:val="00B73628"/>
    <w:rsid w:val="00B743A2"/>
    <w:rsid w:val="00B74586"/>
    <w:rsid w:val="00B757B1"/>
    <w:rsid w:val="00B764F8"/>
    <w:rsid w:val="00B7726A"/>
    <w:rsid w:val="00B83119"/>
    <w:rsid w:val="00B83FDB"/>
    <w:rsid w:val="00B91C06"/>
    <w:rsid w:val="00B923BC"/>
    <w:rsid w:val="00B96097"/>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17F0"/>
    <w:rsid w:val="00BD6D33"/>
    <w:rsid w:val="00BE36D6"/>
    <w:rsid w:val="00BE3EF2"/>
    <w:rsid w:val="00BE5304"/>
    <w:rsid w:val="00BE58C3"/>
    <w:rsid w:val="00BE7765"/>
    <w:rsid w:val="00BF0E1D"/>
    <w:rsid w:val="00BF2F0A"/>
    <w:rsid w:val="00BF323C"/>
    <w:rsid w:val="00BF3402"/>
    <w:rsid w:val="00BF5C84"/>
    <w:rsid w:val="00BF7497"/>
    <w:rsid w:val="00C0041D"/>
    <w:rsid w:val="00C0423E"/>
    <w:rsid w:val="00C04425"/>
    <w:rsid w:val="00C04F5C"/>
    <w:rsid w:val="00C07241"/>
    <w:rsid w:val="00C07968"/>
    <w:rsid w:val="00C1023B"/>
    <w:rsid w:val="00C10953"/>
    <w:rsid w:val="00C10A7E"/>
    <w:rsid w:val="00C10D2B"/>
    <w:rsid w:val="00C11106"/>
    <w:rsid w:val="00C114AA"/>
    <w:rsid w:val="00C13A80"/>
    <w:rsid w:val="00C157ED"/>
    <w:rsid w:val="00C15DA0"/>
    <w:rsid w:val="00C20259"/>
    <w:rsid w:val="00C2646C"/>
    <w:rsid w:val="00C275FC"/>
    <w:rsid w:val="00C30172"/>
    <w:rsid w:val="00C34B81"/>
    <w:rsid w:val="00C35616"/>
    <w:rsid w:val="00C41DCF"/>
    <w:rsid w:val="00C42940"/>
    <w:rsid w:val="00C42F97"/>
    <w:rsid w:val="00C4427E"/>
    <w:rsid w:val="00C45BD3"/>
    <w:rsid w:val="00C469AE"/>
    <w:rsid w:val="00C522D8"/>
    <w:rsid w:val="00C52B54"/>
    <w:rsid w:val="00C53A66"/>
    <w:rsid w:val="00C53D89"/>
    <w:rsid w:val="00C56920"/>
    <w:rsid w:val="00C61987"/>
    <w:rsid w:val="00C651CF"/>
    <w:rsid w:val="00C6543B"/>
    <w:rsid w:val="00C65C28"/>
    <w:rsid w:val="00C6605B"/>
    <w:rsid w:val="00C67852"/>
    <w:rsid w:val="00C67A6E"/>
    <w:rsid w:val="00C707BC"/>
    <w:rsid w:val="00C71275"/>
    <w:rsid w:val="00C718DE"/>
    <w:rsid w:val="00C73497"/>
    <w:rsid w:val="00C735E7"/>
    <w:rsid w:val="00C75D48"/>
    <w:rsid w:val="00C770FE"/>
    <w:rsid w:val="00C811F6"/>
    <w:rsid w:val="00C846DF"/>
    <w:rsid w:val="00C8482A"/>
    <w:rsid w:val="00C859AE"/>
    <w:rsid w:val="00C90345"/>
    <w:rsid w:val="00C908ED"/>
    <w:rsid w:val="00C91D21"/>
    <w:rsid w:val="00C93185"/>
    <w:rsid w:val="00C9342D"/>
    <w:rsid w:val="00C95050"/>
    <w:rsid w:val="00C95DD4"/>
    <w:rsid w:val="00C97831"/>
    <w:rsid w:val="00CA0596"/>
    <w:rsid w:val="00CA1058"/>
    <w:rsid w:val="00CA2541"/>
    <w:rsid w:val="00CB0294"/>
    <w:rsid w:val="00CB1925"/>
    <w:rsid w:val="00CB201F"/>
    <w:rsid w:val="00CB2F19"/>
    <w:rsid w:val="00CB4E2A"/>
    <w:rsid w:val="00CB5E6E"/>
    <w:rsid w:val="00CC0223"/>
    <w:rsid w:val="00CC0661"/>
    <w:rsid w:val="00CC0C93"/>
    <w:rsid w:val="00CC1427"/>
    <w:rsid w:val="00CC1BAF"/>
    <w:rsid w:val="00CC22E5"/>
    <w:rsid w:val="00CC364B"/>
    <w:rsid w:val="00CC3D88"/>
    <w:rsid w:val="00CC5D8A"/>
    <w:rsid w:val="00CC6FEE"/>
    <w:rsid w:val="00CC7174"/>
    <w:rsid w:val="00CD0141"/>
    <w:rsid w:val="00CD08E9"/>
    <w:rsid w:val="00CD1EBC"/>
    <w:rsid w:val="00CD3BB8"/>
    <w:rsid w:val="00CD6EED"/>
    <w:rsid w:val="00CE7FE2"/>
    <w:rsid w:val="00CF164D"/>
    <w:rsid w:val="00CF2E74"/>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B4A"/>
    <w:rsid w:val="00D31FF7"/>
    <w:rsid w:val="00D34E36"/>
    <w:rsid w:val="00D35A57"/>
    <w:rsid w:val="00D36641"/>
    <w:rsid w:val="00D36E68"/>
    <w:rsid w:val="00D42AD7"/>
    <w:rsid w:val="00D51EBE"/>
    <w:rsid w:val="00D52298"/>
    <w:rsid w:val="00D526EF"/>
    <w:rsid w:val="00D569AD"/>
    <w:rsid w:val="00D5766D"/>
    <w:rsid w:val="00D609A5"/>
    <w:rsid w:val="00D60B85"/>
    <w:rsid w:val="00D62DB0"/>
    <w:rsid w:val="00D62E75"/>
    <w:rsid w:val="00D63648"/>
    <w:rsid w:val="00D67B91"/>
    <w:rsid w:val="00D67F74"/>
    <w:rsid w:val="00D72603"/>
    <w:rsid w:val="00D76012"/>
    <w:rsid w:val="00D778B5"/>
    <w:rsid w:val="00D77B4D"/>
    <w:rsid w:val="00D77D00"/>
    <w:rsid w:val="00D8197B"/>
    <w:rsid w:val="00D82763"/>
    <w:rsid w:val="00D82BC2"/>
    <w:rsid w:val="00D84DF3"/>
    <w:rsid w:val="00D85A0E"/>
    <w:rsid w:val="00D86557"/>
    <w:rsid w:val="00D87883"/>
    <w:rsid w:val="00D927FC"/>
    <w:rsid w:val="00D931ED"/>
    <w:rsid w:val="00D9323E"/>
    <w:rsid w:val="00D937B3"/>
    <w:rsid w:val="00D961CA"/>
    <w:rsid w:val="00DA4FB3"/>
    <w:rsid w:val="00DA5237"/>
    <w:rsid w:val="00DA5D81"/>
    <w:rsid w:val="00DB1078"/>
    <w:rsid w:val="00DB109E"/>
    <w:rsid w:val="00DB120D"/>
    <w:rsid w:val="00DB1EAF"/>
    <w:rsid w:val="00DB444B"/>
    <w:rsid w:val="00DB5F83"/>
    <w:rsid w:val="00DB677C"/>
    <w:rsid w:val="00DC3B91"/>
    <w:rsid w:val="00DC435F"/>
    <w:rsid w:val="00DC5B96"/>
    <w:rsid w:val="00DC7363"/>
    <w:rsid w:val="00DC7967"/>
    <w:rsid w:val="00DC7EEC"/>
    <w:rsid w:val="00DD075B"/>
    <w:rsid w:val="00DD29E2"/>
    <w:rsid w:val="00DD2BE4"/>
    <w:rsid w:val="00DD7200"/>
    <w:rsid w:val="00DD73CD"/>
    <w:rsid w:val="00DE4954"/>
    <w:rsid w:val="00DE5A72"/>
    <w:rsid w:val="00DF0A28"/>
    <w:rsid w:val="00DF2C27"/>
    <w:rsid w:val="00DF5663"/>
    <w:rsid w:val="00E02A2C"/>
    <w:rsid w:val="00E05B86"/>
    <w:rsid w:val="00E05C1F"/>
    <w:rsid w:val="00E1489A"/>
    <w:rsid w:val="00E16489"/>
    <w:rsid w:val="00E209C2"/>
    <w:rsid w:val="00E20DE3"/>
    <w:rsid w:val="00E212F0"/>
    <w:rsid w:val="00E2199A"/>
    <w:rsid w:val="00E2202D"/>
    <w:rsid w:val="00E22206"/>
    <w:rsid w:val="00E22AF5"/>
    <w:rsid w:val="00E2303A"/>
    <w:rsid w:val="00E2403B"/>
    <w:rsid w:val="00E24392"/>
    <w:rsid w:val="00E264D0"/>
    <w:rsid w:val="00E26885"/>
    <w:rsid w:val="00E272D4"/>
    <w:rsid w:val="00E307DE"/>
    <w:rsid w:val="00E31B56"/>
    <w:rsid w:val="00E32021"/>
    <w:rsid w:val="00E32321"/>
    <w:rsid w:val="00E34196"/>
    <w:rsid w:val="00E34A41"/>
    <w:rsid w:val="00E35A3A"/>
    <w:rsid w:val="00E35CBD"/>
    <w:rsid w:val="00E36B5F"/>
    <w:rsid w:val="00E403E5"/>
    <w:rsid w:val="00E41ACC"/>
    <w:rsid w:val="00E41F36"/>
    <w:rsid w:val="00E448AB"/>
    <w:rsid w:val="00E44A37"/>
    <w:rsid w:val="00E47D59"/>
    <w:rsid w:val="00E50D1B"/>
    <w:rsid w:val="00E5123C"/>
    <w:rsid w:val="00E51827"/>
    <w:rsid w:val="00E51AC9"/>
    <w:rsid w:val="00E543C7"/>
    <w:rsid w:val="00E55871"/>
    <w:rsid w:val="00E55D94"/>
    <w:rsid w:val="00E5607F"/>
    <w:rsid w:val="00E6162C"/>
    <w:rsid w:val="00E6534A"/>
    <w:rsid w:val="00E65EDF"/>
    <w:rsid w:val="00E66846"/>
    <w:rsid w:val="00E7008C"/>
    <w:rsid w:val="00E70CE4"/>
    <w:rsid w:val="00E72146"/>
    <w:rsid w:val="00E72546"/>
    <w:rsid w:val="00E75A40"/>
    <w:rsid w:val="00E75F6A"/>
    <w:rsid w:val="00E76F4C"/>
    <w:rsid w:val="00E77E45"/>
    <w:rsid w:val="00E85B2B"/>
    <w:rsid w:val="00E85B7A"/>
    <w:rsid w:val="00E85B8A"/>
    <w:rsid w:val="00E877EB"/>
    <w:rsid w:val="00E87F99"/>
    <w:rsid w:val="00E90851"/>
    <w:rsid w:val="00E90931"/>
    <w:rsid w:val="00E91FE0"/>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219B"/>
    <w:rsid w:val="00EC430C"/>
    <w:rsid w:val="00EC4D25"/>
    <w:rsid w:val="00EC7868"/>
    <w:rsid w:val="00ED0763"/>
    <w:rsid w:val="00ED156A"/>
    <w:rsid w:val="00ED3F1B"/>
    <w:rsid w:val="00ED5A72"/>
    <w:rsid w:val="00ED7BC0"/>
    <w:rsid w:val="00EE0706"/>
    <w:rsid w:val="00EE4C25"/>
    <w:rsid w:val="00EE6BD7"/>
    <w:rsid w:val="00EE7C91"/>
    <w:rsid w:val="00EF0897"/>
    <w:rsid w:val="00EF3CF5"/>
    <w:rsid w:val="00EF500C"/>
    <w:rsid w:val="00EF5049"/>
    <w:rsid w:val="00EF59D6"/>
    <w:rsid w:val="00F00B2C"/>
    <w:rsid w:val="00F00BB6"/>
    <w:rsid w:val="00F02E65"/>
    <w:rsid w:val="00F04CD6"/>
    <w:rsid w:val="00F06723"/>
    <w:rsid w:val="00F12692"/>
    <w:rsid w:val="00F1775C"/>
    <w:rsid w:val="00F239D4"/>
    <w:rsid w:val="00F23CDB"/>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4CB9"/>
    <w:rsid w:val="00F77216"/>
    <w:rsid w:val="00F77AA8"/>
    <w:rsid w:val="00F80A9E"/>
    <w:rsid w:val="00F845E5"/>
    <w:rsid w:val="00F956B3"/>
    <w:rsid w:val="00F97776"/>
    <w:rsid w:val="00F97E78"/>
    <w:rsid w:val="00FA3F8D"/>
    <w:rsid w:val="00FA6206"/>
    <w:rsid w:val="00FB1B3E"/>
    <w:rsid w:val="00FB2D23"/>
    <w:rsid w:val="00FB4B31"/>
    <w:rsid w:val="00FB522F"/>
    <w:rsid w:val="00FC0010"/>
    <w:rsid w:val="00FC11EB"/>
    <w:rsid w:val="00FC14D6"/>
    <w:rsid w:val="00FC3425"/>
    <w:rsid w:val="00FC4BFD"/>
    <w:rsid w:val="00FC51E0"/>
    <w:rsid w:val="00FC546C"/>
    <w:rsid w:val="00FC5E88"/>
    <w:rsid w:val="00FC73DD"/>
    <w:rsid w:val="00FD12AE"/>
    <w:rsid w:val="00FD3377"/>
    <w:rsid w:val="00FD44D0"/>
    <w:rsid w:val="00FD4BD3"/>
    <w:rsid w:val="00FD5CCC"/>
    <w:rsid w:val="00FD6470"/>
    <w:rsid w:val="00FD655A"/>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a0"/>
    <w:uiPriority w:val="34"/>
    <w:qFormat/>
    <w:locked/>
    <w:rsid w:val="0025296E"/>
    <w:rPr>
      <w:rFonts w:ascii="SimSun" w:eastAsia="SimSun" w:hAnsi="SimSun"/>
    </w:rPr>
  </w:style>
  <w:style w:type="paragraph" w:styleId="ae">
    <w:name w:val="annotation text"/>
    <w:basedOn w:val="a"/>
    <w:link w:val="af"/>
    <w:qFormat/>
    <w:rsid w:val="00F97E78"/>
    <w:pPr>
      <w:autoSpaceDE w:val="0"/>
      <w:autoSpaceDN w:val="0"/>
      <w:adjustRightInd w:val="0"/>
      <w:snapToGrid w:val="0"/>
      <w:spacing w:after="120"/>
    </w:pPr>
    <w:rPr>
      <w:rFonts w:eastAsiaTheme="minorEastAsia"/>
      <w:sz w:val="22"/>
      <w:szCs w:val="22"/>
      <w:lang w:eastAsia="en-US"/>
    </w:rPr>
  </w:style>
  <w:style w:type="character" w:customStyle="1" w:styleId="af">
    <w:name w:val="註解文字 字元"/>
    <w:basedOn w:val="a0"/>
    <w:link w:val="ae"/>
    <w:qFormat/>
    <w:rsid w:val="00F97E78"/>
    <w:rPr>
      <w:rFonts w:ascii="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17806044">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684671780">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63190961">
      <w:bodyDiv w:val="1"/>
      <w:marLeft w:val="0"/>
      <w:marRight w:val="0"/>
      <w:marTop w:val="0"/>
      <w:marBottom w:val="0"/>
      <w:divBdr>
        <w:top w:val="none" w:sz="0" w:space="0" w:color="auto"/>
        <w:left w:val="none" w:sz="0" w:space="0" w:color="auto"/>
        <w:bottom w:val="none" w:sz="0" w:space="0" w:color="auto"/>
        <w:right w:val="none" w:sz="0" w:space="0" w:color="auto"/>
      </w:divBdr>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55816191">
      <w:bodyDiv w:val="1"/>
      <w:marLeft w:val="0"/>
      <w:marRight w:val="0"/>
      <w:marTop w:val="0"/>
      <w:marBottom w:val="0"/>
      <w:divBdr>
        <w:top w:val="none" w:sz="0" w:space="0" w:color="auto"/>
        <w:left w:val="none" w:sz="0" w:space="0" w:color="auto"/>
        <w:bottom w:val="none" w:sz="0" w:space="0" w:color="auto"/>
        <w:right w:val="none" w:sz="0" w:space="0" w:color="auto"/>
      </w:divBdr>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208950588">
      <w:bodyDiv w:val="1"/>
      <w:marLeft w:val="0"/>
      <w:marRight w:val="0"/>
      <w:marTop w:val="0"/>
      <w:marBottom w:val="0"/>
      <w:divBdr>
        <w:top w:val="none" w:sz="0" w:space="0" w:color="auto"/>
        <w:left w:val="none" w:sz="0" w:space="0" w:color="auto"/>
        <w:bottom w:val="none" w:sz="0" w:space="0" w:color="auto"/>
        <w:right w:val="none" w:sz="0" w:space="0" w:color="auto"/>
      </w:divBdr>
      <w:divsChild>
        <w:div w:id="1906839221">
          <w:marLeft w:val="432"/>
          <w:marRight w:val="0"/>
          <w:marTop w:val="240"/>
          <w:marBottom w:val="0"/>
          <w:divBdr>
            <w:top w:val="none" w:sz="0" w:space="0" w:color="auto"/>
            <w:left w:val="none" w:sz="0" w:space="0" w:color="auto"/>
            <w:bottom w:val="none" w:sz="0" w:space="0" w:color="auto"/>
            <w:right w:val="none" w:sz="0" w:space="0" w:color="auto"/>
          </w:divBdr>
        </w:div>
      </w:divsChild>
    </w:div>
    <w:div w:id="1287663893">
      <w:bodyDiv w:val="1"/>
      <w:marLeft w:val="0"/>
      <w:marRight w:val="0"/>
      <w:marTop w:val="0"/>
      <w:marBottom w:val="0"/>
      <w:divBdr>
        <w:top w:val="none" w:sz="0" w:space="0" w:color="auto"/>
        <w:left w:val="none" w:sz="0" w:space="0" w:color="auto"/>
        <w:bottom w:val="none" w:sz="0" w:space="0" w:color="auto"/>
        <w:right w:val="none" w:sz="0" w:space="0" w:color="auto"/>
      </w:divBdr>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31366407">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799029126">
      <w:bodyDiv w:val="1"/>
      <w:marLeft w:val="0"/>
      <w:marRight w:val="0"/>
      <w:marTop w:val="0"/>
      <w:marBottom w:val="0"/>
      <w:divBdr>
        <w:top w:val="none" w:sz="0" w:space="0" w:color="auto"/>
        <w:left w:val="none" w:sz="0" w:space="0" w:color="auto"/>
        <w:bottom w:val="none" w:sz="0" w:space="0" w:color="auto"/>
        <w:right w:val="none" w:sz="0" w:space="0" w:color="auto"/>
      </w:divBdr>
      <w:divsChild>
        <w:div w:id="175854073">
          <w:marLeft w:val="432"/>
          <w:marRight w:val="0"/>
          <w:marTop w:val="240"/>
          <w:marBottom w:val="0"/>
          <w:divBdr>
            <w:top w:val="none" w:sz="0" w:space="0" w:color="auto"/>
            <w:left w:val="none" w:sz="0" w:space="0" w:color="auto"/>
            <w:bottom w:val="none" w:sz="0" w:space="0" w:color="auto"/>
            <w:right w:val="none" w:sz="0" w:space="0" w:color="auto"/>
          </w:divBdr>
        </w:div>
      </w:divsChild>
    </w:div>
    <w:div w:id="1803309225">
      <w:bodyDiv w:val="1"/>
      <w:marLeft w:val="0"/>
      <w:marRight w:val="0"/>
      <w:marTop w:val="0"/>
      <w:marBottom w:val="0"/>
      <w:divBdr>
        <w:top w:val="none" w:sz="0" w:space="0" w:color="auto"/>
        <w:left w:val="none" w:sz="0" w:space="0" w:color="auto"/>
        <w:bottom w:val="none" w:sz="0" w:space="0" w:color="auto"/>
        <w:right w:val="none" w:sz="0" w:space="0" w:color="auto"/>
      </w:divBdr>
      <w:divsChild>
        <w:div w:id="903376223">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04237928">
      <w:bodyDiv w:val="1"/>
      <w:marLeft w:val="0"/>
      <w:marRight w:val="0"/>
      <w:marTop w:val="0"/>
      <w:marBottom w:val="0"/>
      <w:divBdr>
        <w:top w:val="none" w:sz="0" w:space="0" w:color="auto"/>
        <w:left w:val="none" w:sz="0" w:space="0" w:color="auto"/>
        <w:bottom w:val="none" w:sz="0" w:space="0" w:color="auto"/>
        <w:right w:val="none" w:sz="0" w:space="0" w:color="auto"/>
      </w:divBdr>
      <w:divsChild>
        <w:div w:id="2017267640">
          <w:marLeft w:val="1267"/>
          <w:marRight w:val="0"/>
          <w:marTop w:val="180"/>
          <w:marBottom w:val="0"/>
          <w:divBdr>
            <w:top w:val="none" w:sz="0" w:space="0" w:color="auto"/>
            <w:left w:val="none" w:sz="0" w:space="0" w:color="auto"/>
            <w:bottom w:val="none" w:sz="0" w:space="0" w:color="auto"/>
            <w:right w:val="none" w:sz="0" w:space="0" w:color="auto"/>
          </w:divBdr>
        </w:div>
        <w:div w:id="1195342473">
          <w:marLeft w:val="1267"/>
          <w:marRight w:val="0"/>
          <w:marTop w:val="180"/>
          <w:marBottom w:val="0"/>
          <w:divBdr>
            <w:top w:val="none" w:sz="0" w:space="0" w:color="auto"/>
            <w:left w:val="none" w:sz="0" w:space="0" w:color="auto"/>
            <w:bottom w:val="none" w:sz="0" w:space="0" w:color="auto"/>
            <w:right w:val="none" w:sz="0" w:space="0" w:color="auto"/>
          </w:divBdr>
        </w:div>
      </w:divsChild>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4.xml><?xml version="1.0" encoding="utf-8"?>
<ds:datastoreItem xmlns:ds="http://schemas.openxmlformats.org/officeDocument/2006/customXml" ds:itemID="{7BD2EA7A-5338-4553-B1B0-0F99C30CE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3</cp:revision>
  <cp:lastPrinted>2018-11-02T10:25:00Z</cp:lastPrinted>
  <dcterms:created xsi:type="dcterms:W3CDTF">2020-02-14T10:26:00Z</dcterms:created>
  <dcterms:modified xsi:type="dcterms:W3CDTF">2020-02-14T10:30:00Z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